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F4" w:rsidRPr="005B2B28" w:rsidRDefault="005450F4" w:rsidP="005B2B28">
      <w:pPr>
        <w:jc w:val="center"/>
        <w:rPr>
          <w:rFonts w:ascii="Times New Roman" w:hAnsi="Times New Roman" w:cs="Times New Roman"/>
          <w:b/>
          <w:sz w:val="28"/>
        </w:rPr>
      </w:pPr>
      <w:r w:rsidRPr="005B2B28">
        <w:rPr>
          <w:rFonts w:ascii="Times New Roman" w:hAnsi="Times New Roman" w:cs="Times New Roman"/>
          <w:b/>
          <w:sz w:val="28"/>
        </w:rPr>
        <w:t>Nyilatkozat fennálló fogyatékosságról</w:t>
      </w:r>
    </w:p>
    <w:p w:rsidR="005450F4" w:rsidRPr="002A3C3A" w:rsidRDefault="005450F4" w:rsidP="002A3C3A">
      <w:pPr>
        <w:spacing w:after="120" w:line="240" w:lineRule="auto"/>
        <w:rPr>
          <w:rFonts w:ascii="Times New Roman" w:hAnsi="Times New Roman" w:cs="Times New Roman"/>
          <w:b/>
        </w:rPr>
      </w:pPr>
      <w:r w:rsidRPr="002A3C3A">
        <w:rPr>
          <w:rFonts w:ascii="Times New Roman" w:hAnsi="Times New Roman" w:cs="Times New Roman"/>
          <w:b/>
        </w:rPr>
        <w:t>Alulírott</w:t>
      </w:r>
    </w:p>
    <w:tbl>
      <w:tblPr>
        <w:tblStyle w:val="Rcsostblzat"/>
        <w:tblW w:w="0" w:type="auto"/>
        <w:tblLook w:val="04A0"/>
      </w:tblPr>
      <w:tblGrid>
        <w:gridCol w:w="2376"/>
        <w:gridCol w:w="7655"/>
      </w:tblGrid>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Név</w:t>
            </w:r>
          </w:p>
        </w:tc>
        <w:tc>
          <w:tcPr>
            <w:tcW w:w="7655" w:type="dxa"/>
          </w:tcPr>
          <w:p w:rsidR="005450F4" w:rsidRPr="002A3C3A" w:rsidRDefault="005450F4" w:rsidP="002A3C3A">
            <w:pPr>
              <w:spacing w:after="60"/>
              <w:rPr>
                <w:rFonts w:ascii="Times New Roman" w:hAnsi="Times New Roman" w:cs="Times New Roman"/>
              </w:rPr>
            </w:pPr>
          </w:p>
        </w:tc>
      </w:tr>
      <w:tr w:rsidR="00DB0CCF" w:rsidRPr="00C011A5" w:rsidTr="00EB5F1C">
        <w:tc>
          <w:tcPr>
            <w:tcW w:w="2376" w:type="dxa"/>
          </w:tcPr>
          <w:p w:rsidR="00DB0CCF" w:rsidRPr="002A3C3A" w:rsidRDefault="00DB0CCF" w:rsidP="002A3C3A">
            <w:pPr>
              <w:spacing w:after="60"/>
              <w:rPr>
                <w:rFonts w:ascii="Times New Roman" w:hAnsi="Times New Roman" w:cs="Times New Roman"/>
              </w:rPr>
            </w:pPr>
            <w:r w:rsidRPr="002A3C3A">
              <w:rPr>
                <w:rFonts w:ascii="Times New Roman" w:hAnsi="Times New Roman" w:cs="Times New Roman"/>
              </w:rPr>
              <w:t>Születési név</w:t>
            </w:r>
          </w:p>
        </w:tc>
        <w:tc>
          <w:tcPr>
            <w:tcW w:w="7655" w:type="dxa"/>
          </w:tcPr>
          <w:p w:rsidR="00DB0CCF" w:rsidRPr="002A3C3A" w:rsidRDefault="00DB0CCF"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Anyja neve</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Születési hely</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Születési idő</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Állandó lakcím</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2E7C2B" w:rsidP="002A3C3A">
            <w:pPr>
              <w:spacing w:after="60"/>
              <w:rPr>
                <w:rFonts w:ascii="Times New Roman" w:hAnsi="Times New Roman" w:cs="Times New Roman"/>
              </w:rPr>
            </w:pPr>
            <w:r>
              <w:rPr>
                <w:rFonts w:ascii="Times New Roman" w:hAnsi="Times New Roman" w:cs="Times New Roman"/>
              </w:rPr>
              <w:t>Értesítési cím</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NEPTUN kód</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EB5F1C">
            <w:pPr>
              <w:spacing w:after="60"/>
              <w:rPr>
                <w:rFonts w:ascii="Times New Roman" w:hAnsi="Times New Roman" w:cs="Times New Roman"/>
              </w:rPr>
            </w:pPr>
            <w:r w:rsidRPr="002A3C3A">
              <w:rPr>
                <w:rFonts w:ascii="Times New Roman" w:hAnsi="Times New Roman" w:cs="Times New Roman"/>
              </w:rPr>
              <w:t>Kar/</w:t>
            </w:r>
            <w:r w:rsidR="00DB0CCF" w:rsidRPr="002A3C3A">
              <w:rPr>
                <w:rFonts w:ascii="Times New Roman" w:hAnsi="Times New Roman" w:cs="Times New Roman"/>
              </w:rPr>
              <w:t xml:space="preserve">Karhoz nem tartozó </w:t>
            </w:r>
            <w:r w:rsidR="00EB5F1C">
              <w:rPr>
                <w:rFonts w:ascii="Times New Roman" w:hAnsi="Times New Roman" w:cs="Times New Roman"/>
              </w:rPr>
              <w:t>Intézet</w:t>
            </w:r>
          </w:p>
        </w:tc>
        <w:tc>
          <w:tcPr>
            <w:tcW w:w="7655" w:type="dxa"/>
          </w:tcPr>
          <w:p w:rsidR="005450F4" w:rsidRPr="002A3C3A" w:rsidRDefault="005450F4" w:rsidP="002A3C3A">
            <w:pPr>
              <w:spacing w:after="60"/>
              <w:rPr>
                <w:rFonts w:ascii="Times New Roman" w:hAnsi="Times New Roman" w:cs="Times New Roman"/>
              </w:rPr>
            </w:pPr>
          </w:p>
        </w:tc>
      </w:tr>
      <w:tr w:rsidR="005450F4" w:rsidRPr="00C011A5" w:rsidTr="00EB5F1C">
        <w:tc>
          <w:tcPr>
            <w:tcW w:w="2376" w:type="dxa"/>
          </w:tcPr>
          <w:p w:rsidR="005450F4" w:rsidRPr="002A3C3A" w:rsidRDefault="005450F4" w:rsidP="002A3C3A">
            <w:pPr>
              <w:spacing w:after="60"/>
              <w:rPr>
                <w:rFonts w:ascii="Times New Roman" w:hAnsi="Times New Roman" w:cs="Times New Roman"/>
              </w:rPr>
            </w:pPr>
            <w:r w:rsidRPr="002A3C3A">
              <w:rPr>
                <w:rFonts w:ascii="Times New Roman" w:hAnsi="Times New Roman" w:cs="Times New Roman"/>
              </w:rPr>
              <w:t>Szak</w:t>
            </w:r>
            <w:r w:rsidR="00CB6653">
              <w:rPr>
                <w:rFonts w:ascii="Times New Roman" w:hAnsi="Times New Roman" w:cs="Times New Roman"/>
              </w:rPr>
              <w:t xml:space="preserve"> / Szakirány</w:t>
            </w:r>
          </w:p>
        </w:tc>
        <w:tc>
          <w:tcPr>
            <w:tcW w:w="7655" w:type="dxa"/>
          </w:tcPr>
          <w:p w:rsidR="005450F4" w:rsidRPr="002A3C3A" w:rsidRDefault="005450F4" w:rsidP="002A3C3A">
            <w:pPr>
              <w:spacing w:after="60"/>
              <w:rPr>
                <w:rFonts w:ascii="Times New Roman" w:hAnsi="Times New Roman" w:cs="Times New Roman"/>
              </w:rPr>
            </w:pPr>
          </w:p>
        </w:tc>
      </w:tr>
      <w:tr w:rsidR="008109A1" w:rsidRPr="00C011A5" w:rsidTr="00EB5F1C">
        <w:tc>
          <w:tcPr>
            <w:tcW w:w="2376" w:type="dxa"/>
          </w:tcPr>
          <w:p w:rsidR="008109A1" w:rsidRPr="002A3C3A" w:rsidRDefault="0083451C" w:rsidP="002A3C3A">
            <w:pPr>
              <w:spacing w:after="60"/>
              <w:rPr>
                <w:rFonts w:ascii="Times New Roman" w:hAnsi="Times New Roman" w:cs="Times New Roman"/>
              </w:rPr>
            </w:pPr>
            <w:r>
              <w:rPr>
                <w:rFonts w:ascii="Times New Roman" w:hAnsi="Times New Roman" w:cs="Times New Roman"/>
              </w:rPr>
              <w:t>M</w:t>
            </w:r>
            <w:r w:rsidR="009439B0">
              <w:rPr>
                <w:rFonts w:ascii="Times New Roman" w:hAnsi="Times New Roman" w:cs="Times New Roman"/>
              </w:rPr>
              <w:t>unkarend</w:t>
            </w:r>
          </w:p>
        </w:tc>
        <w:tc>
          <w:tcPr>
            <w:tcW w:w="7655" w:type="dxa"/>
          </w:tcPr>
          <w:p w:rsidR="008109A1" w:rsidRPr="002A3C3A" w:rsidRDefault="008109A1" w:rsidP="002A3C3A">
            <w:pPr>
              <w:spacing w:after="60"/>
              <w:rPr>
                <w:rFonts w:ascii="Times New Roman" w:hAnsi="Times New Roman" w:cs="Times New Roman"/>
              </w:rPr>
            </w:pPr>
          </w:p>
        </w:tc>
      </w:tr>
      <w:tr w:rsidR="002E7C2B" w:rsidRPr="00C011A5" w:rsidTr="00EB5F1C">
        <w:tc>
          <w:tcPr>
            <w:tcW w:w="2376" w:type="dxa"/>
          </w:tcPr>
          <w:p w:rsidR="002E7C2B" w:rsidRDefault="002E7C2B" w:rsidP="002A3C3A">
            <w:pPr>
              <w:spacing w:after="60"/>
              <w:rPr>
                <w:rFonts w:ascii="Times New Roman" w:hAnsi="Times New Roman" w:cs="Times New Roman"/>
              </w:rPr>
            </w:pPr>
            <w:r>
              <w:rPr>
                <w:rFonts w:ascii="Times New Roman" w:hAnsi="Times New Roman" w:cs="Times New Roman"/>
              </w:rPr>
              <w:t>Évfolyam</w:t>
            </w:r>
          </w:p>
        </w:tc>
        <w:tc>
          <w:tcPr>
            <w:tcW w:w="7655" w:type="dxa"/>
          </w:tcPr>
          <w:p w:rsidR="002E7C2B" w:rsidRPr="002A3C3A" w:rsidRDefault="002E7C2B" w:rsidP="002A3C3A">
            <w:pPr>
              <w:spacing w:after="60"/>
              <w:rPr>
                <w:rFonts w:ascii="Times New Roman" w:hAnsi="Times New Roman" w:cs="Times New Roman"/>
              </w:rPr>
            </w:pPr>
          </w:p>
        </w:tc>
      </w:tr>
      <w:tr w:rsidR="002E7C2B" w:rsidRPr="00C011A5" w:rsidTr="00EB5F1C">
        <w:tc>
          <w:tcPr>
            <w:tcW w:w="2376" w:type="dxa"/>
          </w:tcPr>
          <w:p w:rsidR="002E7C2B" w:rsidRDefault="002E7C2B" w:rsidP="002A3C3A">
            <w:pPr>
              <w:spacing w:after="60"/>
              <w:rPr>
                <w:rFonts w:ascii="Times New Roman" w:hAnsi="Times New Roman" w:cs="Times New Roman"/>
              </w:rPr>
            </w:pPr>
            <w:r>
              <w:rPr>
                <w:rFonts w:ascii="Times New Roman" w:hAnsi="Times New Roman" w:cs="Times New Roman"/>
              </w:rPr>
              <w:t>Költségviselési forma</w:t>
            </w:r>
          </w:p>
        </w:tc>
        <w:tc>
          <w:tcPr>
            <w:tcW w:w="7655" w:type="dxa"/>
          </w:tcPr>
          <w:p w:rsidR="002E7C2B" w:rsidRPr="002A3C3A" w:rsidRDefault="002E7C2B" w:rsidP="002A3C3A">
            <w:pPr>
              <w:spacing w:after="60"/>
              <w:rPr>
                <w:rFonts w:ascii="Times New Roman" w:hAnsi="Times New Roman" w:cs="Times New Roman"/>
              </w:rPr>
            </w:pPr>
          </w:p>
        </w:tc>
      </w:tr>
    </w:tbl>
    <w:p w:rsidR="00CB6653" w:rsidRDefault="008109A1" w:rsidP="00F27C5D">
      <w:pPr>
        <w:pStyle w:val="NormlWeb"/>
        <w:spacing w:before="120" w:beforeAutospacing="0" w:after="120" w:afterAutospacing="0"/>
        <w:ind w:right="147"/>
        <w:jc w:val="both"/>
        <w:rPr>
          <w:sz w:val="22"/>
          <w:szCs w:val="22"/>
        </w:rPr>
      </w:pPr>
      <w:r w:rsidRPr="002A3C3A">
        <w:rPr>
          <w:sz w:val="22"/>
          <w:szCs w:val="22"/>
        </w:rPr>
        <w:t xml:space="preserve">a Nemzeti </w:t>
      </w:r>
      <w:r w:rsidRPr="0083451C">
        <w:rPr>
          <w:sz w:val="22"/>
          <w:szCs w:val="22"/>
        </w:rPr>
        <w:t xml:space="preserve">Közszolgálati Egyetem </w:t>
      </w:r>
      <w:r w:rsidR="00CB6653" w:rsidRPr="0083451C">
        <w:rPr>
          <w:sz w:val="22"/>
          <w:szCs w:val="22"/>
        </w:rPr>
        <w:t xml:space="preserve">(a továbbiakban: Egyetem) </w:t>
      </w:r>
      <w:r w:rsidRPr="0083451C">
        <w:rPr>
          <w:sz w:val="22"/>
          <w:szCs w:val="22"/>
        </w:rPr>
        <w:t xml:space="preserve">hallgatója </w:t>
      </w:r>
      <w:r w:rsidR="005450F4" w:rsidRPr="0083451C">
        <w:rPr>
          <w:sz w:val="22"/>
          <w:szCs w:val="22"/>
        </w:rPr>
        <w:t>nyilatkozom</w:t>
      </w:r>
      <w:r w:rsidR="00D00F0D">
        <w:rPr>
          <w:sz w:val="22"/>
          <w:szCs w:val="22"/>
        </w:rPr>
        <w:t xml:space="preserve"> arról</w:t>
      </w:r>
      <w:r w:rsidR="005450F4" w:rsidRPr="0083451C">
        <w:rPr>
          <w:sz w:val="22"/>
          <w:szCs w:val="22"/>
        </w:rPr>
        <w:t xml:space="preserve">, hogy </w:t>
      </w:r>
      <w:r w:rsidR="00EB5F1C" w:rsidRPr="0083451C">
        <w:rPr>
          <w:sz w:val="22"/>
          <w:szCs w:val="22"/>
        </w:rPr>
        <w:t xml:space="preserve">a </w:t>
      </w:r>
      <w:r w:rsidR="005450F4" w:rsidRPr="0083451C">
        <w:rPr>
          <w:sz w:val="22"/>
          <w:szCs w:val="22"/>
        </w:rPr>
        <w:t xml:space="preserve">nemzeti felsőoktatásról szóló </w:t>
      </w:r>
      <w:r w:rsidR="00CB6653" w:rsidRPr="0083451C">
        <w:rPr>
          <w:sz w:val="22"/>
          <w:szCs w:val="22"/>
        </w:rPr>
        <w:t xml:space="preserve">2011. évi CCIV. </w:t>
      </w:r>
      <w:r w:rsidR="005450F4" w:rsidRPr="0083451C">
        <w:rPr>
          <w:sz w:val="22"/>
          <w:szCs w:val="22"/>
        </w:rPr>
        <w:t>törvény</w:t>
      </w:r>
      <w:r w:rsidR="005B2B28" w:rsidRPr="0083451C">
        <w:rPr>
          <w:sz w:val="22"/>
          <w:szCs w:val="22"/>
        </w:rPr>
        <w:t xml:space="preserve"> </w:t>
      </w:r>
      <w:r w:rsidR="00C011A5" w:rsidRPr="0083451C">
        <w:rPr>
          <w:sz w:val="22"/>
          <w:szCs w:val="22"/>
        </w:rPr>
        <w:t xml:space="preserve">(a továbbiakban: </w:t>
      </w:r>
      <w:proofErr w:type="spellStart"/>
      <w:r w:rsidR="00C011A5" w:rsidRPr="0083451C">
        <w:rPr>
          <w:sz w:val="22"/>
          <w:szCs w:val="22"/>
        </w:rPr>
        <w:t>Nftv</w:t>
      </w:r>
      <w:proofErr w:type="spellEnd"/>
      <w:r w:rsidR="00C011A5" w:rsidRPr="0083451C">
        <w:rPr>
          <w:sz w:val="22"/>
          <w:szCs w:val="22"/>
        </w:rPr>
        <w:t xml:space="preserve">.) </w:t>
      </w:r>
      <w:r w:rsidR="005B2B28" w:rsidRPr="0083451C">
        <w:rPr>
          <w:sz w:val="22"/>
          <w:szCs w:val="22"/>
        </w:rPr>
        <w:t>108.</w:t>
      </w:r>
      <w:r w:rsidR="00EB5F1C" w:rsidRPr="0083451C">
        <w:rPr>
          <w:sz w:val="22"/>
          <w:szCs w:val="22"/>
        </w:rPr>
        <w:t xml:space="preserve"> </w:t>
      </w:r>
      <w:r w:rsidR="005B2B28" w:rsidRPr="0083451C">
        <w:rPr>
          <w:sz w:val="22"/>
          <w:szCs w:val="22"/>
        </w:rPr>
        <w:t>§</w:t>
      </w:r>
      <w:r w:rsidR="00C011A5" w:rsidRPr="0083451C">
        <w:rPr>
          <w:sz w:val="22"/>
          <w:szCs w:val="22"/>
        </w:rPr>
        <w:t xml:space="preserve"> 6. pontjá</w:t>
      </w:r>
      <w:r w:rsidR="005450F4" w:rsidRPr="0083451C">
        <w:rPr>
          <w:sz w:val="22"/>
          <w:szCs w:val="22"/>
        </w:rPr>
        <w:t>b</w:t>
      </w:r>
      <w:r w:rsidR="005B2B28" w:rsidRPr="0083451C">
        <w:rPr>
          <w:sz w:val="22"/>
          <w:szCs w:val="22"/>
        </w:rPr>
        <w:t>a</w:t>
      </w:r>
      <w:r w:rsidR="005450F4" w:rsidRPr="0083451C">
        <w:rPr>
          <w:sz w:val="22"/>
          <w:szCs w:val="22"/>
        </w:rPr>
        <w:t xml:space="preserve">n és </w:t>
      </w:r>
      <w:r w:rsidR="0083451C" w:rsidRPr="0083451C">
        <w:rPr>
          <w:bCs/>
          <w:sz w:val="22"/>
          <w:szCs w:val="22"/>
        </w:rPr>
        <w:t>a nemzeti felsőoktatásról szóló 2011. évi CCIV. törvény egyes rendelkezéseinek végrehajtásáról szóló 87/2015. (IV. 9.) Korm. rendelet</w:t>
      </w:r>
      <w:r w:rsidR="00F9119A">
        <w:rPr>
          <w:bCs/>
          <w:sz w:val="22"/>
          <w:szCs w:val="22"/>
        </w:rPr>
        <w:t>ben</w:t>
      </w:r>
      <w:r w:rsidR="00C011A5" w:rsidRPr="0083451C">
        <w:rPr>
          <w:sz w:val="22"/>
          <w:szCs w:val="22"/>
        </w:rPr>
        <w:t xml:space="preserve"> </w:t>
      </w:r>
      <w:r w:rsidR="0083451C">
        <w:rPr>
          <w:sz w:val="22"/>
          <w:szCs w:val="22"/>
        </w:rPr>
        <w:t xml:space="preserve">(a továbbiakban: </w:t>
      </w:r>
      <w:proofErr w:type="spellStart"/>
      <w:r w:rsidR="0083451C">
        <w:rPr>
          <w:sz w:val="22"/>
          <w:szCs w:val="22"/>
        </w:rPr>
        <w:t>Nftv</w:t>
      </w:r>
      <w:proofErr w:type="spellEnd"/>
      <w:r w:rsidR="0083451C">
        <w:rPr>
          <w:sz w:val="22"/>
          <w:szCs w:val="22"/>
        </w:rPr>
        <w:t xml:space="preserve">. Vhr.) </w:t>
      </w:r>
      <w:r w:rsidR="00C011A5" w:rsidRPr="0083451C">
        <w:rPr>
          <w:sz w:val="22"/>
          <w:szCs w:val="22"/>
        </w:rPr>
        <w:t xml:space="preserve">foglaltak </w:t>
      </w:r>
      <w:r w:rsidR="005B2B28" w:rsidRPr="0083451C">
        <w:rPr>
          <w:sz w:val="22"/>
          <w:szCs w:val="22"/>
        </w:rPr>
        <w:t>alapján az alábbi, szakvéleménnyel</w:t>
      </w:r>
      <w:r w:rsidR="005B2B28" w:rsidRPr="002A3C3A">
        <w:rPr>
          <w:sz w:val="22"/>
          <w:szCs w:val="22"/>
        </w:rPr>
        <w:t xml:space="preserve"> igazolt fogyatékosság(ok)</w:t>
      </w:r>
      <w:proofErr w:type="spellStart"/>
      <w:r w:rsidR="005B2B28" w:rsidRPr="002A3C3A">
        <w:rPr>
          <w:sz w:val="22"/>
          <w:szCs w:val="22"/>
        </w:rPr>
        <w:t>al</w:t>
      </w:r>
      <w:proofErr w:type="spellEnd"/>
      <w:r w:rsidR="005B2B28" w:rsidRPr="002A3C3A">
        <w:rPr>
          <w:sz w:val="22"/>
          <w:szCs w:val="22"/>
        </w:rPr>
        <w:t xml:space="preserve"> </w:t>
      </w:r>
      <w:bookmarkStart w:id="0" w:name="pr2"/>
      <w:bookmarkEnd w:id="0"/>
      <w:r w:rsidR="005B2B28" w:rsidRPr="002A3C3A">
        <w:rPr>
          <w:sz w:val="22"/>
          <w:szCs w:val="22"/>
        </w:rPr>
        <w:t>élek:</w:t>
      </w:r>
    </w:p>
    <w:p w:rsidR="005450F4" w:rsidRPr="002A3C3A" w:rsidRDefault="00CB6653" w:rsidP="002A3C3A">
      <w:pPr>
        <w:pStyle w:val="NormlWeb"/>
        <w:spacing w:before="0" w:beforeAutospacing="0" w:after="120" w:afterAutospacing="0"/>
        <w:ind w:right="150"/>
        <w:jc w:val="both"/>
        <w:rPr>
          <w:sz w:val="22"/>
          <w:szCs w:val="22"/>
        </w:rPr>
      </w:pPr>
      <w:r>
        <w:rPr>
          <w:sz w:val="22"/>
          <w:szCs w:val="22"/>
        </w:rPr>
        <w:t>……………………………………………………………………………………………………………</w:t>
      </w:r>
      <w:r>
        <w:rPr>
          <w:rStyle w:val="Lbjegyzet-hivatkozs"/>
          <w:sz w:val="22"/>
          <w:szCs w:val="22"/>
        </w:rPr>
        <w:footnoteReference w:id="1"/>
      </w:r>
    </w:p>
    <w:p w:rsidR="00D44178" w:rsidRPr="00857A19" w:rsidRDefault="00D44178" w:rsidP="0083451C">
      <w:pPr>
        <w:pStyle w:val="NormlWeb"/>
        <w:spacing w:before="120" w:beforeAutospacing="0" w:after="0" w:afterAutospacing="0"/>
        <w:ind w:right="147"/>
        <w:jc w:val="both"/>
        <w:rPr>
          <w:sz w:val="22"/>
          <w:szCs w:val="22"/>
        </w:rPr>
      </w:pPr>
      <w:r w:rsidRPr="00857A19">
        <w:rPr>
          <w:sz w:val="22"/>
          <w:szCs w:val="22"/>
        </w:rPr>
        <w:t xml:space="preserve">A jelen nyilatkozat célja, hogy a fogyatékossággal élőket megillető különleges bánásmód elbírálásához, az </w:t>
      </w:r>
      <w:proofErr w:type="spellStart"/>
      <w:r w:rsidRPr="00857A19">
        <w:rPr>
          <w:sz w:val="22"/>
          <w:szCs w:val="22"/>
        </w:rPr>
        <w:t>Nftv-ben</w:t>
      </w:r>
      <w:proofErr w:type="spellEnd"/>
      <w:r w:rsidRPr="00857A19">
        <w:rPr>
          <w:sz w:val="22"/>
          <w:szCs w:val="22"/>
        </w:rPr>
        <w:t xml:space="preserve"> és az </w:t>
      </w:r>
      <w:proofErr w:type="spellStart"/>
      <w:r w:rsidRPr="00857A19">
        <w:rPr>
          <w:sz w:val="22"/>
          <w:szCs w:val="22"/>
        </w:rPr>
        <w:t>Nftv</w:t>
      </w:r>
      <w:proofErr w:type="spellEnd"/>
      <w:r w:rsidRPr="00857A19">
        <w:rPr>
          <w:sz w:val="22"/>
          <w:szCs w:val="22"/>
        </w:rPr>
        <w:t xml:space="preserve">. </w:t>
      </w:r>
      <w:proofErr w:type="spellStart"/>
      <w:r w:rsidRPr="00857A19">
        <w:rPr>
          <w:sz w:val="22"/>
          <w:szCs w:val="22"/>
        </w:rPr>
        <w:t>Vhr-ben</w:t>
      </w:r>
      <w:proofErr w:type="spellEnd"/>
      <w:r w:rsidRPr="00857A19">
        <w:rPr>
          <w:sz w:val="22"/>
          <w:szCs w:val="22"/>
        </w:rPr>
        <w:t xml:space="preserve"> meghatározott hallgatói jogosultságok biztosításához szükséges személyes adatok és különleges adatok az Egyetem rendelkezésére álljanak.</w:t>
      </w:r>
    </w:p>
    <w:p w:rsidR="00AB0AE2" w:rsidRDefault="00AB0AE2" w:rsidP="0083451C">
      <w:pPr>
        <w:pStyle w:val="NormlWeb"/>
        <w:spacing w:before="120" w:beforeAutospacing="0" w:after="0" w:afterAutospacing="0"/>
        <w:ind w:right="147"/>
        <w:jc w:val="both"/>
        <w:rPr>
          <w:sz w:val="22"/>
          <w:szCs w:val="22"/>
        </w:rPr>
      </w:pPr>
      <w:r w:rsidRPr="00AB0AE2">
        <w:rPr>
          <w:sz w:val="22"/>
          <w:szCs w:val="22"/>
        </w:rPr>
        <w:t>A jelen kérelem benyújtásával tudomásul veszem, hogy a fogyatékossággal élőket megillető különleges bánásmód elbírálásához</w:t>
      </w:r>
      <w:r w:rsidR="00D00F0D">
        <w:rPr>
          <w:sz w:val="22"/>
          <w:szCs w:val="22"/>
        </w:rPr>
        <w:t>,</w:t>
      </w:r>
      <w:r w:rsidRPr="00AB0AE2">
        <w:rPr>
          <w:sz w:val="22"/>
          <w:szCs w:val="22"/>
        </w:rPr>
        <w:t xml:space="preserve"> </w:t>
      </w:r>
      <w:r w:rsidR="00D00F0D" w:rsidRPr="00D00F0D">
        <w:rPr>
          <w:sz w:val="22"/>
          <w:szCs w:val="22"/>
        </w:rPr>
        <w:t xml:space="preserve">az </w:t>
      </w:r>
      <w:proofErr w:type="spellStart"/>
      <w:r w:rsidR="00D00F0D" w:rsidRPr="00D00F0D">
        <w:rPr>
          <w:sz w:val="22"/>
          <w:szCs w:val="22"/>
        </w:rPr>
        <w:t>Nftv-ben</w:t>
      </w:r>
      <w:proofErr w:type="spellEnd"/>
      <w:r w:rsidR="00D00F0D" w:rsidRPr="00D00F0D">
        <w:rPr>
          <w:sz w:val="22"/>
          <w:szCs w:val="22"/>
        </w:rPr>
        <w:t xml:space="preserve"> és az </w:t>
      </w:r>
      <w:proofErr w:type="spellStart"/>
      <w:r w:rsidR="00D00F0D" w:rsidRPr="00D00F0D">
        <w:rPr>
          <w:sz w:val="22"/>
          <w:szCs w:val="22"/>
        </w:rPr>
        <w:t>Nftv</w:t>
      </w:r>
      <w:proofErr w:type="spellEnd"/>
      <w:r w:rsidR="00D00F0D" w:rsidRPr="00D00F0D">
        <w:rPr>
          <w:sz w:val="22"/>
          <w:szCs w:val="22"/>
        </w:rPr>
        <w:t xml:space="preserve">. </w:t>
      </w:r>
      <w:proofErr w:type="spellStart"/>
      <w:r w:rsidR="00D00F0D" w:rsidRPr="00D00F0D">
        <w:rPr>
          <w:sz w:val="22"/>
          <w:szCs w:val="22"/>
        </w:rPr>
        <w:t>Vhr-ben</w:t>
      </w:r>
      <w:proofErr w:type="spellEnd"/>
      <w:r w:rsidR="00D00F0D" w:rsidRPr="00D00F0D">
        <w:rPr>
          <w:sz w:val="22"/>
          <w:szCs w:val="22"/>
        </w:rPr>
        <w:t xml:space="preserve"> meghatározott hallgatói jogosultságok biztosítás</w:t>
      </w:r>
      <w:r w:rsidR="00D00F0D">
        <w:rPr>
          <w:sz w:val="22"/>
          <w:szCs w:val="22"/>
        </w:rPr>
        <w:t xml:space="preserve">ához </w:t>
      </w:r>
      <w:r w:rsidRPr="00AB0AE2">
        <w:rPr>
          <w:sz w:val="22"/>
          <w:szCs w:val="22"/>
        </w:rPr>
        <w:t xml:space="preserve">szükséges személyes adatok és különleges adatok </w:t>
      </w:r>
      <w:r>
        <w:rPr>
          <w:sz w:val="22"/>
          <w:szCs w:val="22"/>
        </w:rPr>
        <w:t>megadása esetén</w:t>
      </w:r>
      <w:r w:rsidRPr="00AB0AE2">
        <w:rPr>
          <w:sz w:val="22"/>
          <w:szCs w:val="22"/>
        </w:rPr>
        <w:t xml:space="preserve"> ezen adatok </w:t>
      </w:r>
      <w:r w:rsidR="008114D1">
        <w:rPr>
          <w:sz w:val="22"/>
          <w:szCs w:val="22"/>
        </w:rPr>
        <w:t xml:space="preserve">az </w:t>
      </w:r>
      <w:proofErr w:type="spellStart"/>
      <w:r w:rsidR="008114D1">
        <w:rPr>
          <w:sz w:val="22"/>
          <w:szCs w:val="22"/>
        </w:rPr>
        <w:t>Nftv</w:t>
      </w:r>
      <w:proofErr w:type="spellEnd"/>
      <w:r w:rsidR="008114D1">
        <w:rPr>
          <w:sz w:val="22"/>
          <w:szCs w:val="22"/>
        </w:rPr>
        <w:t>.</w:t>
      </w:r>
      <w:r w:rsidRPr="00AB0AE2">
        <w:rPr>
          <w:sz w:val="22"/>
          <w:szCs w:val="22"/>
        </w:rPr>
        <w:t xml:space="preserve"> alapján kezelt adatoknak fognak a továbbiakban minősülni, és az Egyetem ilyenként fogja őket kezelni.</w:t>
      </w:r>
    </w:p>
    <w:p w:rsidR="004D6DAE" w:rsidRPr="0083451C" w:rsidRDefault="00EB5F1C" w:rsidP="00C43F14">
      <w:pPr>
        <w:pStyle w:val="NormlWeb"/>
        <w:spacing w:before="120" w:beforeAutospacing="0" w:after="0" w:afterAutospacing="0"/>
        <w:ind w:right="147"/>
        <w:jc w:val="both"/>
        <w:rPr>
          <w:sz w:val="22"/>
          <w:szCs w:val="22"/>
        </w:rPr>
      </w:pPr>
      <w:r w:rsidRPr="0083451C">
        <w:rPr>
          <w:sz w:val="22"/>
          <w:szCs w:val="22"/>
        </w:rPr>
        <w:t>Tudomásul veszem, hogy a jelen nyilatkozat csak a fogya</w:t>
      </w:r>
      <w:r w:rsidR="009439B0" w:rsidRPr="0083451C">
        <w:rPr>
          <w:sz w:val="22"/>
          <w:szCs w:val="22"/>
        </w:rPr>
        <w:t xml:space="preserve">tékosságomat igazoló dokumentummal </w:t>
      </w:r>
      <w:r w:rsidRPr="0083451C">
        <w:rPr>
          <w:sz w:val="22"/>
          <w:szCs w:val="22"/>
        </w:rPr>
        <w:t>együtt érvényes</w:t>
      </w:r>
      <w:r w:rsidR="00995C65" w:rsidRPr="0083451C">
        <w:rPr>
          <w:sz w:val="22"/>
          <w:szCs w:val="22"/>
        </w:rPr>
        <w:t>, melyet a jelen nyilatkozat átadásával egyidejűleg átadtam az Egyetem részére</w:t>
      </w:r>
      <w:r w:rsidRPr="0083451C">
        <w:rPr>
          <w:sz w:val="22"/>
          <w:szCs w:val="22"/>
        </w:rPr>
        <w:t>.</w:t>
      </w:r>
      <w:r w:rsidR="00416F2B" w:rsidRPr="0083451C">
        <w:rPr>
          <w:sz w:val="22"/>
          <w:szCs w:val="22"/>
        </w:rPr>
        <w:t xml:space="preserve"> </w:t>
      </w:r>
    </w:p>
    <w:p w:rsidR="00C43F14" w:rsidRPr="0083451C" w:rsidRDefault="00C43F14" w:rsidP="00C43F14">
      <w:pPr>
        <w:pStyle w:val="NormlWeb"/>
        <w:spacing w:before="120" w:beforeAutospacing="0" w:after="0" w:afterAutospacing="0"/>
        <w:ind w:right="147"/>
        <w:jc w:val="both"/>
        <w:rPr>
          <w:sz w:val="22"/>
          <w:szCs w:val="22"/>
        </w:rPr>
      </w:pPr>
      <w:r w:rsidRPr="0083451C">
        <w:rPr>
          <w:sz w:val="22"/>
          <w:szCs w:val="22"/>
        </w:rPr>
        <w:t>Jelen nyilatkozatommal kötelezettséget vállalok arra, hogy az adatokban bekövetkezett változást haladéktalanul írásban bejelentem az Egyetem esélyegyenlőségi koordinátora részére.</w:t>
      </w:r>
    </w:p>
    <w:p w:rsidR="00EB5F1C" w:rsidRDefault="00EB5F1C" w:rsidP="00C43F14">
      <w:pPr>
        <w:pStyle w:val="NormlWeb"/>
        <w:spacing w:before="120" w:beforeAutospacing="0" w:after="0" w:afterAutospacing="0"/>
        <w:ind w:right="147"/>
        <w:jc w:val="both"/>
        <w:rPr>
          <w:sz w:val="22"/>
          <w:szCs w:val="22"/>
        </w:rPr>
      </w:pPr>
      <w:r>
        <w:rPr>
          <w:sz w:val="22"/>
          <w:szCs w:val="22"/>
        </w:rPr>
        <w:t>A jelen nyilatkozat melléklet</w:t>
      </w:r>
      <w:r w:rsidR="00C43F14">
        <w:rPr>
          <w:sz w:val="22"/>
          <w:szCs w:val="22"/>
        </w:rPr>
        <w:t>ét</w:t>
      </w:r>
      <w:r w:rsidR="00995C65">
        <w:rPr>
          <w:sz w:val="22"/>
          <w:szCs w:val="22"/>
        </w:rPr>
        <w:t xml:space="preserve"> képező </w:t>
      </w:r>
      <w:r w:rsidR="0083451C">
        <w:rPr>
          <w:sz w:val="22"/>
          <w:szCs w:val="22"/>
        </w:rPr>
        <w:t xml:space="preserve">adatvédelmi </w:t>
      </w:r>
      <w:r w:rsidR="00D00F0D">
        <w:rPr>
          <w:sz w:val="22"/>
          <w:szCs w:val="22"/>
        </w:rPr>
        <w:t xml:space="preserve">tájékoztatót, mely az adatkezelés feltételeit tartalmazza, </w:t>
      </w:r>
      <w:r>
        <w:rPr>
          <w:sz w:val="22"/>
          <w:szCs w:val="22"/>
        </w:rPr>
        <w:t xml:space="preserve">elolvastam és megértettem. </w:t>
      </w:r>
      <w:r w:rsidR="00D00F0D">
        <w:rPr>
          <w:sz w:val="22"/>
          <w:szCs w:val="22"/>
        </w:rPr>
        <w:t>A jelen nyilatkozat az adatvédelmi tájékoztatóval együtt érvényes.</w:t>
      </w:r>
    </w:p>
    <w:p w:rsidR="00D00F0D" w:rsidRDefault="00D00F0D" w:rsidP="00C43F14">
      <w:pPr>
        <w:pStyle w:val="NormlWeb"/>
        <w:spacing w:before="120" w:beforeAutospacing="0" w:after="0" w:afterAutospacing="0"/>
        <w:ind w:right="147"/>
        <w:jc w:val="both"/>
        <w:rPr>
          <w:sz w:val="22"/>
          <w:szCs w:val="22"/>
        </w:rPr>
      </w:pPr>
    </w:p>
    <w:p w:rsidR="00D00F0D" w:rsidRDefault="00D00F0D" w:rsidP="00C43F14">
      <w:pPr>
        <w:pStyle w:val="NormlWeb"/>
        <w:spacing w:before="120" w:beforeAutospacing="0" w:after="0" w:afterAutospacing="0"/>
        <w:ind w:right="147"/>
        <w:jc w:val="both"/>
        <w:rPr>
          <w:sz w:val="22"/>
          <w:szCs w:val="22"/>
        </w:rPr>
      </w:pPr>
      <w:r>
        <w:rPr>
          <w:sz w:val="22"/>
          <w:szCs w:val="22"/>
        </w:rPr>
        <w:t>Melléklet:</w:t>
      </w:r>
    </w:p>
    <w:p w:rsidR="00D00F0D" w:rsidRDefault="0055149E" w:rsidP="00D00F0D">
      <w:pPr>
        <w:pStyle w:val="NormlWeb"/>
        <w:numPr>
          <w:ilvl w:val="0"/>
          <w:numId w:val="5"/>
        </w:numPr>
        <w:spacing w:before="120" w:beforeAutospacing="0" w:after="0" w:afterAutospacing="0"/>
        <w:ind w:right="147"/>
        <w:jc w:val="both"/>
        <w:rPr>
          <w:sz w:val="22"/>
          <w:szCs w:val="22"/>
        </w:rPr>
      </w:pPr>
      <w:r>
        <w:rPr>
          <w:sz w:val="22"/>
          <w:szCs w:val="22"/>
        </w:rPr>
        <w:t>Adatvédelmi t</w:t>
      </w:r>
      <w:r w:rsidR="00D00F0D">
        <w:rPr>
          <w:sz w:val="22"/>
          <w:szCs w:val="22"/>
        </w:rPr>
        <w:t>ájékoztató</w:t>
      </w:r>
    </w:p>
    <w:p w:rsidR="00D00F0D" w:rsidRPr="008114D1" w:rsidRDefault="00D00F0D" w:rsidP="00D00F0D">
      <w:pPr>
        <w:pStyle w:val="NormlWeb"/>
        <w:numPr>
          <w:ilvl w:val="0"/>
          <w:numId w:val="5"/>
        </w:numPr>
        <w:spacing w:before="120" w:beforeAutospacing="0" w:after="0" w:afterAutospacing="0"/>
        <w:ind w:right="147"/>
        <w:jc w:val="both"/>
        <w:rPr>
          <w:i/>
          <w:sz w:val="22"/>
          <w:szCs w:val="22"/>
        </w:rPr>
      </w:pPr>
      <w:r w:rsidRPr="008114D1">
        <w:rPr>
          <w:i/>
          <w:sz w:val="22"/>
          <w:szCs w:val="22"/>
        </w:rPr>
        <w:t>fogyatékosságot igazoló(dokumentum(ok)</w:t>
      </w:r>
    </w:p>
    <w:p w:rsidR="008109A1" w:rsidRPr="002A3C3A" w:rsidRDefault="008109A1" w:rsidP="00C43F14">
      <w:pPr>
        <w:pStyle w:val="NormlWeb"/>
        <w:spacing w:before="120" w:beforeAutospacing="0" w:after="0" w:afterAutospacing="0"/>
        <w:ind w:right="147"/>
        <w:jc w:val="both"/>
        <w:rPr>
          <w:sz w:val="22"/>
          <w:szCs w:val="22"/>
        </w:rPr>
      </w:pPr>
      <w:r w:rsidRPr="002A3C3A">
        <w:rPr>
          <w:sz w:val="22"/>
          <w:szCs w:val="22"/>
        </w:rPr>
        <w:t>Kelt, …………………………………………..</w:t>
      </w:r>
    </w:p>
    <w:p w:rsidR="008109A1" w:rsidRPr="002A3C3A" w:rsidRDefault="008109A1" w:rsidP="00C43F14">
      <w:pPr>
        <w:pStyle w:val="NormlWeb"/>
        <w:spacing w:before="120" w:beforeAutospacing="0" w:after="0" w:afterAutospacing="0"/>
        <w:ind w:left="4536" w:right="147"/>
        <w:jc w:val="center"/>
        <w:rPr>
          <w:sz w:val="22"/>
          <w:szCs w:val="22"/>
        </w:rPr>
      </w:pPr>
      <w:r w:rsidRPr="002A3C3A">
        <w:rPr>
          <w:sz w:val="22"/>
          <w:szCs w:val="22"/>
        </w:rPr>
        <w:t>……………………………………..</w:t>
      </w:r>
    </w:p>
    <w:p w:rsidR="005F6BC9" w:rsidRDefault="008109A1" w:rsidP="00CB6653">
      <w:pPr>
        <w:pStyle w:val="NormlWeb"/>
        <w:spacing w:before="0" w:beforeAutospacing="0" w:after="120" w:afterAutospacing="0"/>
        <w:ind w:left="4536" w:right="150"/>
        <w:jc w:val="center"/>
        <w:rPr>
          <w:b/>
          <w:bCs/>
        </w:rPr>
      </w:pPr>
      <w:r w:rsidRPr="002A3C3A">
        <w:rPr>
          <w:sz w:val="22"/>
          <w:szCs w:val="22"/>
        </w:rPr>
        <w:t>aláírás</w:t>
      </w:r>
      <w:r w:rsidR="005F6BC9">
        <w:rPr>
          <w:b/>
          <w:bCs/>
          <w:sz w:val="22"/>
          <w:szCs w:val="22"/>
        </w:rPr>
        <w:br w:type="page"/>
      </w:r>
    </w:p>
    <w:p w:rsidR="00EF4922" w:rsidRDefault="00EF4922" w:rsidP="00EF4922">
      <w:pPr>
        <w:pStyle w:val="NormlWeb"/>
        <w:spacing w:before="0" w:beforeAutospacing="0" w:after="0" w:afterAutospacing="0"/>
        <w:ind w:right="147"/>
        <w:jc w:val="right"/>
        <w:rPr>
          <w:bCs/>
          <w:i/>
          <w:sz w:val="20"/>
          <w:szCs w:val="20"/>
        </w:rPr>
      </w:pPr>
    </w:p>
    <w:p w:rsidR="00EF4922" w:rsidRPr="00EF4922" w:rsidRDefault="00995C65" w:rsidP="00EF4922">
      <w:pPr>
        <w:pStyle w:val="NormlWeb"/>
        <w:spacing w:before="0" w:beforeAutospacing="0" w:after="0" w:afterAutospacing="0"/>
        <w:ind w:right="147"/>
        <w:jc w:val="right"/>
        <w:rPr>
          <w:bCs/>
          <w:i/>
          <w:sz w:val="20"/>
          <w:szCs w:val="20"/>
        </w:rPr>
      </w:pPr>
      <w:r w:rsidRPr="00EF4922">
        <w:rPr>
          <w:bCs/>
          <w:i/>
          <w:sz w:val="20"/>
          <w:szCs w:val="20"/>
        </w:rPr>
        <w:t>Melléklet a fennálló fogyaték</w:t>
      </w:r>
      <w:r w:rsidR="00EF4922" w:rsidRPr="00EF4922">
        <w:rPr>
          <w:bCs/>
          <w:i/>
          <w:sz w:val="20"/>
          <w:szCs w:val="20"/>
        </w:rPr>
        <w:t xml:space="preserve">osságról szóló nyilatkozathoz </w:t>
      </w:r>
    </w:p>
    <w:p w:rsidR="00AB0AE2" w:rsidRDefault="00AB0AE2" w:rsidP="00EF4922">
      <w:pPr>
        <w:pStyle w:val="NormlWeb"/>
        <w:spacing w:before="0" w:beforeAutospacing="0" w:after="0" w:afterAutospacing="0"/>
        <w:ind w:right="147"/>
        <w:jc w:val="center"/>
        <w:rPr>
          <w:b/>
          <w:bCs/>
          <w:sz w:val="20"/>
          <w:szCs w:val="20"/>
        </w:rPr>
      </w:pPr>
    </w:p>
    <w:p w:rsidR="0055149E" w:rsidRPr="00EF4922" w:rsidRDefault="0055149E" w:rsidP="0055149E">
      <w:pPr>
        <w:pStyle w:val="NormlWeb"/>
        <w:spacing w:before="0" w:beforeAutospacing="0" w:after="0" w:afterAutospacing="0"/>
        <w:ind w:right="147"/>
        <w:jc w:val="center"/>
        <w:rPr>
          <w:b/>
          <w:bCs/>
          <w:sz w:val="20"/>
          <w:szCs w:val="20"/>
        </w:rPr>
      </w:pPr>
      <w:r w:rsidRPr="00EF4922">
        <w:rPr>
          <w:b/>
          <w:bCs/>
          <w:sz w:val="20"/>
          <w:szCs w:val="20"/>
        </w:rPr>
        <w:t>Tájékoztatás a nemzeti felsőoktatásról szóló 2011. évi CCIV. törvény fogyatékossággal élőkre vonatkozó rendelkezéseiről, valamint a személyes és különleges adatok kezelésére vonatkozó adatvédelmi tájékoztató</w:t>
      </w:r>
    </w:p>
    <w:p w:rsidR="0055149E" w:rsidRPr="00EF4922" w:rsidRDefault="0055149E" w:rsidP="0055149E">
      <w:pPr>
        <w:pStyle w:val="NormlWeb"/>
        <w:spacing w:before="0" w:beforeAutospacing="0" w:after="0" w:afterAutospacing="0"/>
        <w:ind w:right="147"/>
        <w:jc w:val="center"/>
        <w:rPr>
          <w:bCs/>
          <w:sz w:val="20"/>
          <w:szCs w:val="20"/>
        </w:rPr>
      </w:pPr>
    </w:p>
    <w:p w:rsidR="0055149E" w:rsidRDefault="0055149E" w:rsidP="0055149E">
      <w:pPr>
        <w:pStyle w:val="NormlWeb"/>
        <w:spacing w:before="60" w:beforeAutospacing="0" w:after="60" w:afterAutospacing="0"/>
        <w:ind w:right="147"/>
        <w:rPr>
          <w:b/>
          <w:bCs/>
          <w:sz w:val="20"/>
          <w:szCs w:val="20"/>
        </w:rPr>
      </w:pPr>
      <w:r>
        <w:rPr>
          <w:b/>
          <w:bCs/>
          <w:sz w:val="20"/>
          <w:szCs w:val="20"/>
        </w:rPr>
        <w:t xml:space="preserve">I. </w:t>
      </w:r>
      <w:r w:rsidRPr="00EF4922">
        <w:rPr>
          <w:b/>
          <w:bCs/>
          <w:sz w:val="20"/>
          <w:szCs w:val="20"/>
        </w:rPr>
        <w:t>A nemzeti felsőoktatásról szóló 2011. évi CCIV. törvény</w:t>
      </w:r>
      <w:r>
        <w:rPr>
          <w:b/>
          <w:bCs/>
          <w:sz w:val="20"/>
          <w:szCs w:val="20"/>
        </w:rPr>
        <w:t xml:space="preserve"> </w:t>
      </w:r>
      <w:r w:rsidRPr="00EF4922">
        <w:rPr>
          <w:b/>
          <w:bCs/>
          <w:sz w:val="20"/>
          <w:szCs w:val="20"/>
        </w:rPr>
        <w:t>fogyatékossággal élőkre vonatkozó rendelkezései</w:t>
      </w:r>
    </w:p>
    <w:p w:rsidR="0055149E" w:rsidRDefault="0055149E" w:rsidP="0055149E">
      <w:pPr>
        <w:pStyle w:val="NormlWeb"/>
        <w:spacing w:before="60" w:beforeAutospacing="0" w:after="60" w:afterAutospacing="0"/>
        <w:ind w:right="147"/>
        <w:jc w:val="both"/>
        <w:rPr>
          <w:sz w:val="20"/>
          <w:szCs w:val="20"/>
        </w:rPr>
      </w:pPr>
      <w:r w:rsidRPr="00EF4922">
        <w:rPr>
          <w:b/>
          <w:bCs/>
          <w:sz w:val="20"/>
          <w:szCs w:val="20"/>
        </w:rPr>
        <w:t>43. §</w:t>
      </w:r>
      <w:r w:rsidRPr="00EF4922">
        <w:rPr>
          <w:sz w:val="20"/>
          <w:szCs w:val="20"/>
        </w:rPr>
        <w:t xml:space="preserve"> (1) A hallgató joga, hogy a jogszabályokban és az intézményi szabályozásban meghatározottak szerint teljes körű, pontos és hozzáférhető formában információt kapjon a tanulmányai megkezdéséhez és folytatásához, kialakítsa tanulmányi rendjét, igénybe vegye a felsőoktatási intézményben elérhető képzési lehetőségeket, kapacitásokat; állapotának, személyes adottságainak, fogyatékosságának megfelelő ellátásban részesüljön.</w:t>
      </w:r>
    </w:p>
    <w:p w:rsidR="0055149E" w:rsidRPr="00EF4922" w:rsidRDefault="0055149E" w:rsidP="0055149E">
      <w:pPr>
        <w:pStyle w:val="NormlWeb"/>
        <w:spacing w:before="60" w:beforeAutospacing="0" w:after="60" w:afterAutospacing="0"/>
        <w:ind w:right="147"/>
        <w:jc w:val="both"/>
        <w:rPr>
          <w:sz w:val="20"/>
          <w:szCs w:val="20"/>
        </w:rPr>
      </w:pPr>
      <w:r w:rsidRPr="00EF4922">
        <w:rPr>
          <w:b/>
          <w:bCs/>
          <w:sz w:val="20"/>
          <w:szCs w:val="20"/>
        </w:rPr>
        <w:t>11. §</w:t>
      </w:r>
      <w:r w:rsidRPr="00EF4922">
        <w:rPr>
          <w:sz w:val="20"/>
          <w:szCs w:val="20"/>
        </w:rPr>
        <w:t xml:space="preserve"> (1) A felsőoktatási intézmény</w:t>
      </w:r>
    </w:p>
    <w:p w:rsidR="0055149E" w:rsidRDefault="0055149E" w:rsidP="0055149E">
      <w:pPr>
        <w:pStyle w:val="NormlWeb"/>
        <w:spacing w:before="60" w:beforeAutospacing="0" w:after="60" w:afterAutospacing="0"/>
        <w:ind w:right="147"/>
        <w:jc w:val="both"/>
        <w:rPr>
          <w:sz w:val="20"/>
          <w:szCs w:val="20"/>
        </w:rPr>
      </w:pPr>
      <w:r w:rsidRPr="00EF4922">
        <w:rPr>
          <w:i/>
          <w:iCs/>
          <w:sz w:val="20"/>
          <w:szCs w:val="20"/>
        </w:rPr>
        <w:t>c)</w:t>
      </w:r>
      <w:r w:rsidRPr="00EF4922">
        <w:rPr>
          <w:sz w:val="20"/>
          <w:szCs w:val="20"/>
        </w:rPr>
        <w:t xml:space="preserve"> tájékoztató és tanácsadó rendszerével segíti a – különös figyelemmel a fogyatékkal élő – hallgató beilleszkedését és előrehaladását a felsőfokú tanulmányok idején, illetve a tanulmányok alatt és befejezését követően segítséget nyújt a karriertervezésben,</w:t>
      </w:r>
      <w:r>
        <w:rPr>
          <w:sz w:val="20"/>
          <w:szCs w:val="20"/>
        </w:rPr>
        <w:t>…</w:t>
      </w:r>
    </w:p>
    <w:p w:rsidR="0055149E" w:rsidRDefault="0055149E" w:rsidP="0055149E">
      <w:pPr>
        <w:pStyle w:val="NormlWeb"/>
        <w:spacing w:before="60" w:beforeAutospacing="0" w:after="60" w:afterAutospacing="0"/>
        <w:ind w:right="147"/>
        <w:jc w:val="both"/>
        <w:rPr>
          <w:sz w:val="20"/>
          <w:szCs w:val="20"/>
        </w:rPr>
      </w:pPr>
      <w:r w:rsidRPr="00EF4922">
        <w:rPr>
          <w:b/>
          <w:sz w:val="20"/>
          <w:szCs w:val="20"/>
        </w:rPr>
        <w:t>35. §</w:t>
      </w:r>
      <w:r w:rsidRPr="00EF4922">
        <w:rPr>
          <w:sz w:val="20"/>
          <w:szCs w:val="20"/>
        </w:rPr>
        <w:t xml:space="preserve"> (2) Az oktatással kapcsolatos feladatokat ellátó kötelessége, hogy az ismereteket tárgyilagosan és többoldalúan közvetítse, a jóváhagyott tanterv szerint oktasson és értékeljen, a hallgató emberi méltóságát és jogait tiszteletben tartsa; az oktató tevékenysége során vegye figyelembe a hallgató egyéni képességét, tehetségét, fogyatékosságát.</w:t>
      </w:r>
    </w:p>
    <w:p w:rsidR="0055149E" w:rsidRDefault="0055149E" w:rsidP="0055149E">
      <w:pPr>
        <w:pStyle w:val="NormlWeb"/>
        <w:spacing w:before="60" w:beforeAutospacing="0" w:after="60" w:afterAutospacing="0"/>
        <w:ind w:right="147"/>
        <w:jc w:val="both"/>
        <w:rPr>
          <w:sz w:val="20"/>
          <w:szCs w:val="20"/>
        </w:rPr>
      </w:pPr>
      <w:r w:rsidRPr="00EF4922">
        <w:rPr>
          <w:b/>
          <w:sz w:val="20"/>
          <w:szCs w:val="20"/>
        </w:rPr>
        <w:t xml:space="preserve">47. § </w:t>
      </w:r>
      <w:r w:rsidRPr="00EF4922">
        <w:rPr>
          <w:sz w:val="20"/>
          <w:szCs w:val="20"/>
        </w:rPr>
        <w:t>(4) A fogyatékossággal élő hallgató támogatási idejét a felsőoktatási intézmény legfeljebb négy félévvel megnövelheti.</w:t>
      </w:r>
    </w:p>
    <w:p w:rsidR="0055149E" w:rsidRDefault="0055149E" w:rsidP="0055149E">
      <w:pPr>
        <w:pStyle w:val="NormlWeb"/>
        <w:spacing w:before="60" w:beforeAutospacing="0" w:after="60" w:afterAutospacing="0"/>
        <w:ind w:right="147"/>
        <w:jc w:val="both"/>
        <w:rPr>
          <w:sz w:val="20"/>
          <w:szCs w:val="20"/>
        </w:rPr>
      </w:pPr>
      <w:r w:rsidRPr="00EF4922">
        <w:rPr>
          <w:b/>
          <w:sz w:val="20"/>
          <w:szCs w:val="20"/>
        </w:rPr>
        <w:t>49. §</w:t>
      </w:r>
      <w:r w:rsidRPr="00EF4922">
        <w:rPr>
          <w:sz w:val="20"/>
          <w:szCs w:val="20"/>
        </w:rPr>
        <w:t xml:space="preserve"> (8) A fogyatékossággal élő hallgató részére biztosítani kell a fogyatékossághoz igazodó felkészítést és vizsgáztatást, továbbá segítséget kell nyújtani részére ahhoz, hogy teljesíteni tudja a hallgatói jogviszonyából eredő kötelezettségeit. Indokolt esetben mentesíteni kell egyes tantárgyak, tantárgyrészek tanulása vagy a beszámolás kötelezettsége alól. Szükség esetén mentesíteni kell a nyelvvizsga vagy annak egy része, illetve szintje alól. A vizsgán biztosítani kell a hosszabb felkészülési időt, az írásbeli beszámolón lehetővé kell tenni a segédeszköz – így különösen írógép, számítógép – alkalmazását, szükség esetén az írásbeli beszámoló szóbeli beszámolóval vagy a szóbeli beszámoló írásbeli beszámolóval történő felváltását. Az e bekezdés alapján nyújtott mentesítés kizárólag a mentesítés alapjául szolgáló körülménnyel összefüggésben biztosítható és nem vezethet az oklevél által tanúsított szakképzettség megszerzéséhez szükséges alapvető tanulmányi követelmények alóli felmentéshez.</w:t>
      </w:r>
    </w:p>
    <w:p w:rsidR="0055149E" w:rsidRPr="00EF4922" w:rsidRDefault="0055149E" w:rsidP="0055149E">
      <w:pPr>
        <w:pStyle w:val="NormlWeb"/>
        <w:spacing w:before="0" w:beforeAutospacing="0" w:after="0" w:afterAutospacing="0"/>
        <w:ind w:right="147"/>
        <w:jc w:val="both"/>
        <w:rPr>
          <w:sz w:val="20"/>
          <w:szCs w:val="20"/>
        </w:rPr>
      </w:pPr>
    </w:p>
    <w:p w:rsidR="0055149E" w:rsidRPr="00EF4922" w:rsidRDefault="0055149E" w:rsidP="0055149E">
      <w:pPr>
        <w:pStyle w:val="NormlWeb"/>
        <w:spacing w:before="60" w:beforeAutospacing="0" w:after="60" w:afterAutospacing="0"/>
        <w:ind w:right="150"/>
        <w:jc w:val="both"/>
        <w:rPr>
          <w:b/>
          <w:sz w:val="20"/>
          <w:szCs w:val="20"/>
        </w:rPr>
      </w:pPr>
      <w:r w:rsidRPr="00EF4922">
        <w:rPr>
          <w:b/>
          <w:sz w:val="20"/>
          <w:szCs w:val="20"/>
        </w:rPr>
        <w:t>II. Adatvédelmi tájékoztató</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Jelen tájékoztatás célja, hogy az Nemzeti Közszolgálati Egyetem (a továbbiakban: Egyetem) hallgatói tájékoztatást kapjanak az őket érintő</w:t>
      </w:r>
      <w:r>
        <w:rPr>
          <w:sz w:val="20"/>
          <w:szCs w:val="20"/>
        </w:rPr>
        <w:t xml:space="preserve">, a </w:t>
      </w:r>
      <w:r w:rsidRPr="00AB0AE2">
        <w:rPr>
          <w:sz w:val="20"/>
          <w:szCs w:val="20"/>
        </w:rPr>
        <w:t>fogyatékossággal élőket megillető különleges bánásmód elbírálásához szükséges adatok</w:t>
      </w:r>
      <w:r>
        <w:rPr>
          <w:sz w:val="20"/>
          <w:szCs w:val="20"/>
        </w:rPr>
        <w:t>hoz</w:t>
      </w:r>
      <w:r w:rsidRPr="00AB0AE2">
        <w:rPr>
          <w:sz w:val="20"/>
          <w:szCs w:val="20"/>
        </w:rPr>
        <w:t xml:space="preserve"> kapcsolódó személyes adatkezelésről. A tájékoztatási kötelezettségről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13. cikke rendelkezik.</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1. Az adatkezelő</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Nemzeti Közszolgálati Egyetem (címe: 1083 Budapest, Ludovika tér 2., intézményi azonosító: FI 99859; telefonszám: +3614329000, e-mail cím: </w:t>
      </w:r>
      <w:proofErr w:type="spellStart"/>
      <w:r w:rsidRPr="00AB0AE2">
        <w:rPr>
          <w:sz w:val="20"/>
          <w:szCs w:val="20"/>
        </w:rPr>
        <w:t>nke</w:t>
      </w:r>
      <w:proofErr w:type="spellEnd"/>
      <w:r w:rsidRPr="00AB0AE2">
        <w:rPr>
          <w:sz w:val="20"/>
          <w:szCs w:val="20"/>
        </w:rPr>
        <w:t>@uni-nke.hu; honlap elérhetősége: https://www.uni-nke.hu/).</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2. Adatvédelmi tisztviselő</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Az adatvédelmi tisztviselő neve és elérhetőségei: Dr. </w:t>
      </w:r>
      <w:proofErr w:type="spellStart"/>
      <w:r w:rsidRPr="00AB0AE2">
        <w:rPr>
          <w:sz w:val="20"/>
          <w:szCs w:val="20"/>
        </w:rPr>
        <w:t>Téglásiné</w:t>
      </w:r>
      <w:proofErr w:type="spellEnd"/>
      <w:r w:rsidRPr="00AB0AE2">
        <w:rPr>
          <w:sz w:val="20"/>
          <w:szCs w:val="20"/>
        </w:rPr>
        <w:t xml:space="preserve"> Dr. Kovács Júlia (cím: 1083 Budapest, Ludovika tér 2., e-mail cím: </w:t>
      </w:r>
      <w:hyperlink r:id="rId8" w:history="1">
        <w:r w:rsidRPr="00AB0AE2">
          <w:rPr>
            <w:rStyle w:val="Hiperhivatkozs"/>
            <w:sz w:val="20"/>
            <w:szCs w:val="20"/>
          </w:rPr>
          <w:t>adatvedelem@uni-nke.hu</w:t>
        </w:r>
      </w:hyperlink>
      <w:r w:rsidRPr="00AB0AE2">
        <w:rPr>
          <w:sz w:val="20"/>
          <w:szCs w:val="20"/>
        </w:rPr>
        <w:t>).</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3.</w:t>
      </w:r>
      <w:r w:rsidRPr="00AB0AE2">
        <w:rPr>
          <w:sz w:val="20"/>
          <w:szCs w:val="20"/>
        </w:rPr>
        <w:t xml:space="preserve"> </w:t>
      </w:r>
      <w:r w:rsidRPr="00AB0AE2">
        <w:rPr>
          <w:b/>
          <w:sz w:val="20"/>
          <w:szCs w:val="20"/>
        </w:rPr>
        <w:t>Az adatkezelés jogalapja</w:t>
      </w:r>
    </w:p>
    <w:p w:rsidR="0055149E" w:rsidRPr="007E1D6E" w:rsidRDefault="0055149E" w:rsidP="007E1D6E">
      <w:pPr>
        <w:spacing w:after="0" w:line="240" w:lineRule="auto"/>
        <w:jc w:val="both"/>
        <w:rPr>
          <w:rFonts w:ascii="Times New Roman" w:hAnsi="Times New Roman" w:cs="Times New Roman"/>
          <w:b/>
          <w:sz w:val="20"/>
          <w:szCs w:val="20"/>
        </w:rPr>
      </w:pPr>
      <w:r w:rsidRPr="007E1D6E">
        <w:rPr>
          <w:rFonts w:ascii="Times New Roman" w:hAnsi="Times New Roman" w:cs="Times New Roman"/>
          <w:sz w:val="20"/>
          <w:szCs w:val="20"/>
        </w:rPr>
        <w:t xml:space="preserve">A fogyatékossággal élőket megillető különleges bánásmód elbírálásához szükséges adatok tekintetében az adatkezelés – a GDPR 6. cikk (1) bekezdés </w:t>
      </w:r>
      <w:r w:rsidR="007E1D6E" w:rsidRPr="007E1D6E">
        <w:rPr>
          <w:rFonts w:ascii="Times New Roman" w:hAnsi="Times New Roman" w:cs="Times New Roman"/>
          <w:i/>
          <w:sz w:val="20"/>
          <w:szCs w:val="20"/>
        </w:rPr>
        <w:t>c)</w:t>
      </w:r>
      <w:r w:rsidR="007E1D6E" w:rsidRPr="007E1D6E">
        <w:rPr>
          <w:rFonts w:ascii="Times New Roman" w:hAnsi="Times New Roman" w:cs="Times New Roman"/>
          <w:sz w:val="20"/>
          <w:szCs w:val="20"/>
        </w:rPr>
        <w:t xml:space="preserve"> és </w:t>
      </w:r>
      <w:r w:rsidR="007E1D6E" w:rsidRPr="007E1D6E">
        <w:rPr>
          <w:rFonts w:ascii="Times New Roman" w:hAnsi="Times New Roman" w:cs="Times New Roman"/>
          <w:i/>
          <w:sz w:val="20"/>
          <w:szCs w:val="20"/>
        </w:rPr>
        <w:t>e)</w:t>
      </w:r>
      <w:r w:rsidR="007E1D6E" w:rsidRPr="007E1D6E">
        <w:rPr>
          <w:rFonts w:ascii="Times New Roman" w:hAnsi="Times New Roman" w:cs="Times New Roman"/>
          <w:sz w:val="20"/>
          <w:szCs w:val="20"/>
        </w:rPr>
        <w:t xml:space="preserve"> pontja</w:t>
      </w:r>
      <w:r w:rsidR="007E1D6E" w:rsidRPr="007E1D6E">
        <w:rPr>
          <w:rStyle w:val="Lbjegyzet-hivatkozs"/>
          <w:rFonts w:ascii="Times New Roman" w:hAnsi="Times New Roman" w:cs="Times New Roman"/>
          <w:sz w:val="20"/>
          <w:szCs w:val="20"/>
        </w:rPr>
        <w:footnoteReference w:id="2"/>
      </w:r>
      <w:r w:rsidR="007E1D6E" w:rsidRPr="007E1D6E">
        <w:rPr>
          <w:rFonts w:ascii="Times New Roman" w:hAnsi="Times New Roman" w:cs="Times New Roman"/>
          <w:sz w:val="24"/>
          <w:szCs w:val="24"/>
          <w:lang w:eastAsia="hu-HU"/>
        </w:rPr>
        <w:t xml:space="preserve"> </w:t>
      </w:r>
      <w:r w:rsidRPr="007E1D6E">
        <w:rPr>
          <w:rFonts w:ascii="Times New Roman" w:hAnsi="Times New Roman" w:cs="Times New Roman"/>
          <w:sz w:val="20"/>
          <w:szCs w:val="20"/>
        </w:rPr>
        <w:t xml:space="preserve"> alapján – törvényi rendelkezésen alapul. A törvényi rendelkezés: a nemzeti felsőoktatásról szóló 2011. évi CCIV. törvény (a továbbiakban: </w:t>
      </w:r>
      <w:proofErr w:type="spellStart"/>
      <w:r w:rsidRPr="007E1D6E">
        <w:rPr>
          <w:rFonts w:ascii="Times New Roman" w:hAnsi="Times New Roman" w:cs="Times New Roman"/>
          <w:sz w:val="20"/>
          <w:szCs w:val="20"/>
        </w:rPr>
        <w:t>Nftv</w:t>
      </w:r>
      <w:proofErr w:type="spellEnd"/>
      <w:r w:rsidRPr="007E1D6E">
        <w:rPr>
          <w:rFonts w:ascii="Times New Roman" w:hAnsi="Times New Roman" w:cs="Times New Roman"/>
          <w:sz w:val="20"/>
          <w:szCs w:val="20"/>
        </w:rPr>
        <w:t xml:space="preserve">.) 18. § és 3. melléklet I/B. fejezet. </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4. Az adatkezelés célja</w:t>
      </w:r>
    </w:p>
    <w:p w:rsidR="0055149E" w:rsidRPr="00AB0AE2" w:rsidRDefault="0055149E" w:rsidP="0055149E">
      <w:pPr>
        <w:pStyle w:val="NormlWeb"/>
        <w:spacing w:before="60" w:beforeAutospacing="0" w:after="60" w:afterAutospacing="0"/>
        <w:ind w:right="150"/>
        <w:jc w:val="both"/>
        <w:rPr>
          <w:sz w:val="20"/>
          <w:szCs w:val="20"/>
        </w:rPr>
      </w:pPr>
      <w:r>
        <w:rPr>
          <w:sz w:val="20"/>
          <w:szCs w:val="20"/>
        </w:rPr>
        <w:t>A</w:t>
      </w:r>
      <w:r w:rsidRPr="00AB0AE2">
        <w:rPr>
          <w:sz w:val="20"/>
          <w:szCs w:val="20"/>
        </w:rPr>
        <w:t xml:space="preserve">z adatkezelés célja az </w:t>
      </w:r>
      <w:proofErr w:type="spellStart"/>
      <w:r w:rsidRPr="00AB0AE2">
        <w:rPr>
          <w:sz w:val="20"/>
          <w:szCs w:val="20"/>
        </w:rPr>
        <w:t>Nftv</w:t>
      </w:r>
      <w:proofErr w:type="spellEnd"/>
      <w:r w:rsidRPr="00AB0AE2">
        <w:rPr>
          <w:sz w:val="20"/>
          <w:szCs w:val="20"/>
        </w:rPr>
        <w:t>. 18. § (1) bekezdése alapján a hallgatók (volt hallgatók) jogainak gyakorlása és kötelezettségei teljesítése, a jogszabályokban meghatározott nyilvántartások vezetése, a jogszabályokban és a felsőoktatási intézmény szervezeti és működési szabályzatában biztosított kedvezményekre való jogosultság megállapítása, elbírálása és igazolása.</w:t>
      </w:r>
      <w:r w:rsidR="00E1039E">
        <w:rPr>
          <w:sz w:val="20"/>
          <w:szCs w:val="20"/>
        </w:rPr>
        <w:t xml:space="preserve"> </w:t>
      </w:r>
      <w:r w:rsidRPr="00AB0AE2">
        <w:rPr>
          <w:sz w:val="20"/>
          <w:szCs w:val="20"/>
        </w:rPr>
        <w:t xml:space="preserve">Az </w:t>
      </w:r>
      <w:proofErr w:type="spellStart"/>
      <w:r w:rsidRPr="00AB0AE2">
        <w:rPr>
          <w:sz w:val="20"/>
          <w:szCs w:val="20"/>
        </w:rPr>
        <w:t>Nftv</w:t>
      </w:r>
      <w:proofErr w:type="spellEnd"/>
      <w:r w:rsidRPr="00AB0AE2">
        <w:rPr>
          <w:sz w:val="20"/>
          <w:szCs w:val="20"/>
        </w:rPr>
        <w:t>. 18. § (1) bekezdése alapján nyilvántartott adatok statisztikai célra felhasználhatók és statisztikai felhasználás céljára a hivatalos statisztikai szolgálat számára átadhatók.</w:t>
      </w:r>
    </w:p>
    <w:p w:rsidR="0046666D" w:rsidRDefault="0046666D" w:rsidP="0055149E">
      <w:pPr>
        <w:pStyle w:val="NormlWeb"/>
        <w:spacing w:before="60" w:beforeAutospacing="0" w:after="60" w:afterAutospacing="0"/>
        <w:ind w:right="150"/>
        <w:jc w:val="both"/>
        <w:rPr>
          <w:b/>
          <w:sz w:val="20"/>
          <w:szCs w:val="20"/>
        </w:rPr>
      </w:pP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5. A nyilvántartott adatok köre</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A nyilvántartott adatok köre: név, </w:t>
      </w:r>
      <w:r>
        <w:rPr>
          <w:sz w:val="20"/>
          <w:szCs w:val="20"/>
        </w:rPr>
        <w:t xml:space="preserve">születési név, </w:t>
      </w:r>
      <w:r w:rsidRPr="00AB0AE2">
        <w:rPr>
          <w:sz w:val="20"/>
          <w:szCs w:val="20"/>
        </w:rPr>
        <w:t>hallgatói azonosító (</w:t>
      </w:r>
      <w:proofErr w:type="spellStart"/>
      <w:r w:rsidRPr="00AB0AE2">
        <w:rPr>
          <w:sz w:val="20"/>
          <w:szCs w:val="20"/>
        </w:rPr>
        <w:t>NEPTUN-kód</w:t>
      </w:r>
      <w:proofErr w:type="spellEnd"/>
      <w:r w:rsidRPr="00AB0AE2">
        <w:rPr>
          <w:sz w:val="20"/>
          <w:szCs w:val="20"/>
        </w:rPr>
        <w:t xml:space="preserve">), </w:t>
      </w:r>
      <w:r>
        <w:rPr>
          <w:sz w:val="20"/>
          <w:szCs w:val="20"/>
        </w:rPr>
        <w:t xml:space="preserve">anyja neve, születési hely, idő, állandó lakcím, értesítési cím, kar,/karhoz nem tartozó intézet, </w:t>
      </w:r>
      <w:r w:rsidRPr="00AB0AE2">
        <w:rPr>
          <w:sz w:val="20"/>
          <w:szCs w:val="20"/>
        </w:rPr>
        <w:t xml:space="preserve">szak/szakirány, évfolyam, a képzés munkarendje, a költségviselés formája, továbbá a </w:t>
      </w:r>
      <w:r>
        <w:rPr>
          <w:sz w:val="20"/>
          <w:szCs w:val="20"/>
        </w:rPr>
        <w:t xml:space="preserve">nyilatkozatban </w:t>
      </w:r>
      <w:r w:rsidRPr="00AB0AE2">
        <w:rPr>
          <w:sz w:val="20"/>
          <w:szCs w:val="20"/>
        </w:rPr>
        <w:t>és mellékleteiben foglalt</w:t>
      </w:r>
      <w:r>
        <w:rPr>
          <w:sz w:val="20"/>
          <w:szCs w:val="20"/>
        </w:rPr>
        <w:t xml:space="preserve"> további</w:t>
      </w:r>
      <w:r w:rsidRPr="00AB0AE2">
        <w:rPr>
          <w:sz w:val="20"/>
          <w:szCs w:val="20"/>
        </w:rPr>
        <w:t xml:space="preserve"> személyes adatok.</w:t>
      </w:r>
    </w:p>
    <w:p w:rsidR="00E1039E" w:rsidRDefault="0055149E" w:rsidP="00E1039E">
      <w:pPr>
        <w:pStyle w:val="NormlWeb"/>
        <w:spacing w:before="60" w:beforeAutospacing="0" w:after="60" w:afterAutospacing="0"/>
        <w:ind w:right="150"/>
        <w:rPr>
          <w:sz w:val="20"/>
          <w:szCs w:val="20"/>
        </w:rPr>
      </w:pPr>
      <w:r w:rsidRPr="00AB0AE2">
        <w:rPr>
          <w:sz w:val="20"/>
          <w:szCs w:val="20"/>
        </w:rPr>
        <w:t xml:space="preserve">Felhívjuk a figyelmet, hogy </w:t>
      </w:r>
      <w:r>
        <w:rPr>
          <w:sz w:val="20"/>
          <w:szCs w:val="20"/>
        </w:rPr>
        <w:t>különleges a</w:t>
      </w:r>
      <w:r w:rsidRPr="00AB0AE2">
        <w:rPr>
          <w:sz w:val="20"/>
          <w:szCs w:val="20"/>
        </w:rPr>
        <w:t>datok</w:t>
      </w:r>
      <w:r w:rsidR="00E1039E">
        <w:rPr>
          <w:sz w:val="20"/>
          <w:szCs w:val="20"/>
        </w:rPr>
        <w:t xml:space="preserve"> – egészségügyi adatok</w:t>
      </w:r>
      <w:r w:rsidR="00E1039E" w:rsidRPr="00E1039E">
        <w:rPr>
          <w:sz w:val="20"/>
          <w:szCs w:val="20"/>
          <w:vertAlign w:val="superscript"/>
        </w:rPr>
        <w:footnoteReference w:id="3"/>
      </w:r>
      <w:r w:rsidR="00E1039E" w:rsidRPr="00E1039E">
        <w:rPr>
          <w:sz w:val="20"/>
          <w:szCs w:val="20"/>
        </w:rPr>
        <w:t xml:space="preserve"> </w:t>
      </w:r>
      <w:r w:rsidR="00E1039E">
        <w:rPr>
          <w:sz w:val="20"/>
          <w:szCs w:val="20"/>
        </w:rPr>
        <w:t xml:space="preserve"> - </w:t>
      </w:r>
      <w:r>
        <w:rPr>
          <w:sz w:val="20"/>
          <w:szCs w:val="20"/>
        </w:rPr>
        <w:t xml:space="preserve">kezelésére kerül sor. </w:t>
      </w:r>
    </w:p>
    <w:p w:rsidR="0055149E" w:rsidRPr="00AB0AE2" w:rsidRDefault="0055149E" w:rsidP="00E1039E">
      <w:pPr>
        <w:pStyle w:val="NormlWeb"/>
        <w:spacing w:before="60" w:beforeAutospacing="0" w:after="60" w:afterAutospacing="0"/>
        <w:ind w:right="150"/>
        <w:rPr>
          <w:b/>
          <w:sz w:val="20"/>
          <w:szCs w:val="20"/>
        </w:rPr>
      </w:pPr>
      <w:r w:rsidRPr="00AB0AE2">
        <w:rPr>
          <w:b/>
          <w:sz w:val="20"/>
          <w:szCs w:val="20"/>
        </w:rPr>
        <w:t>6</w:t>
      </w:r>
      <w:r w:rsidRPr="00AB0AE2">
        <w:rPr>
          <w:sz w:val="20"/>
          <w:szCs w:val="20"/>
        </w:rPr>
        <w:t xml:space="preserve">. </w:t>
      </w:r>
      <w:r w:rsidRPr="00AB0AE2">
        <w:rPr>
          <w:b/>
          <w:sz w:val="20"/>
          <w:szCs w:val="20"/>
        </w:rPr>
        <w:t>Az adatkezelés helye</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Az adatkezelést:</w:t>
      </w:r>
    </w:p>
    <w:p w:rsidR="0055149E" w:rsidRPr="00AB0AE2" w:rsidRDefault="0055149E" w:rsidP="00E1039E">
      <w:pPr>
        <w:pStyle w:val="NormlWeb"/>
        <w:numPr>
          <w:ilvl w:val="0"/>
          <w:numId w:val="2"/>
        </w:numPr>
        <w:spacing w:before="0" w:beforeAutospacing="0" w:after="0" w:afterAutospacing="0"/>
        <w:ind w:left="641" w:right="147" w:hanging="357"/>
        <w:jc w:val="both"/>
        <w:rPr>
          <w:sz w:val="20"/>
          <w:szCs w:val="20"/>
        </w:rPr>
      </w:pPr>
      <w:r w:rsidRPr="00AB0AE2">
        <w:rPr>
          <w:sz w:val="20"/>
          <w:szCs w:val="20"/>
        </w:rPr>
        <w:t>az Oktatási</w:t>
      </w:r>
      <w:r w:rsidR="005074BC">
        <w:rPr>
          <w:sz w:val="20"/>
          <w:szCs w:val="20"/>
        </w:rPr>
        <w:t xml:space="preserve"> és Tanulmányi</w:t>
      </w:r>
      <w:r w:rsidRPr="00AB0AE2">
        <w:rPr>
          <w:sz w:val="20"/>
          <w:szCs w:val="20"/>
        </w:rPr>
        <w:t xml:space="preserve"> Iroda (címe: 1083 Budapest, Ludovika tér 2.; e-mail címe: NKE.ORH@uni-nke.hu, telefonszáma: +36 1 432-9000, honlap elérhetősége: </w:t>
      </w:r>
      <w:hyperlink r:id="rId9" w:history="1">
        <w:r w:rsidRPr="00AB0AE2">
          <w:rPr>
            <w:rStyle w:val="Hiperhivatkozs"/>
            <w:sz w:val="20"/>
            <w:szCs w:val="20"/>
          </w:rPr>
          <w:t>https://www.uni-nke.hu</w:t>
        </w:r>
      </w:hyperlink>
      <w:r w:rsidRPr="00AB0AE2">
        <w:rPr>
          <w:sz w:val="20"/>
          <w:szCs w:val="20"/>
        </w:rPr>
        <w:t>), valamint</w:t>
      </w:r>
    </w:p>
    <w:p w:rsidR="0055149E" w:rsidRPr="00AB0AE2" w:rsidRDefault="0055149E" w:rsidP="00E1039E">
      <w:pPr>
        <w:pStyle w:val="NormlWeb"/>
        <w:numPr>
          <w:ilvl w:val="0"/>
          <w:numId w:val="2"/>
        </w:numPr>
        <w:spacing w:before="0" w:beforeAutospacing="0" w:after="0" w:afterAutospacing="0"/>
        <w:ind w:left="641" w:right="147" w:hanging="357"/>
        <w:jc w:val="both"/>
        <w:rPr>
          <w:sz w:val="20"/>
          <w:szCs w:val="20"/>
        </w:rPr>
      </w:pPr>
      <w:r w:rsidRPr="00AB0AE2">
        <w:rPr>
          <w:sz w:val="20"/>
          <w:szCs w:val="20"/>
        </w:rPr>
        <w:t xml:space="preserve">a Központi Tanulmányi Iroda (címe: 1083 Budapest, Ludovika tér 2.; e-mail címe: </w:t>
      </w:r>
      <w:hyperlink r:id="rId10" w:history="1">
        <w:r w:rsidRPr="00AB0AE2">
          <w:rPr>
            <w:rStyle w:val="Hiperhivatkozs"/>
            <w:sz w:val="20"/>
            <w:szCs w:val="20"/>
          </w:rPr>
          <w:t>tanulmanyi@uni-nke.hu</w:t>
        </w:r>
      </w:hyperlink>
      <w:r w:rsidRPr="00AB0AE2">
        <w:rPr>
          <w:sz w:val="20"/>
          <w:szCs w:val="20"/>
        </w:rPr>
        <w:t xml:space="preserve">, telefonszáma: +36 1 432-9000, honlap elérhetősége: </w:t>
      </w:r>
      <w:hyperlink r:id="rId11" w:history="1">
        <w:r w:rsidRPr="00AB0AE2">
          <w:rPr>
            <w:rStyle w:val="Hiperhivatkozs"/>
            <w:sz w:val="20"/>
            <w:szCs w:val="20"/>
          </w:rPr>
          <w:t>https://www.uni-nke.hu</w:t>
        </w:r>
      </w:hyperlink>
      <w:r w:rsidRPr="00AB0AE2">
        <w:rPr>
          <w:sz w:val="20"/>
          <w:szCs w:val="20"/>
        </w:rPr>
        <w:t>)</w:t>
      </w:r>
    </w:p>
    <w:p w:rsidR="0055149E" w:rsidRPr="00AB0AE2" w:rsidRDefault="0055149E" w:rsidP="00E1039E">
      <w:pPr>
        <w:pStyle w:val="NormlWeb"/>
        <w:spacing w:before="0" w:beforeAutospacing="0" w:after="0" w:afterAutospacing="0"/>
        <w:ind w:right="150"/>
        <w:jc w:val="both"/>
        <w:rPr>
          <w:sz w:val="20"/>
          <w:szCs w:val="20"/>
        </w:rPr>
      </w:pPr>
      <w:r w:rsidRPr="00AB0AE2">
        <w:rPr>
          <w:sz w:val="20"/>
          <w:szCs w:val="20"/>
        </w:rPr>
        <w:t>végzi.</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7. Betekintés adattovábbítás</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Az </w:t>
      </w:r>
      <w:proofErr w:type="spellStart"/>
      <w:r w:rsidRPr="00AB0AE2">
        <w:rPr>
          <w:sz w:val="20"/>
          <w:szCs w:val="20"/>
        </w:rPr>
        <w:t>Nftv</w:t>
      </w:r>
      <w:proofErr w:type="spellEnd"/>
      <w:r w:rsidRPr="00AB0AE2">
        <w:rPr>
          <w:sz w:val="20"/>
          <w:szCs w:val="20"/>
        </w:rPr>
        <w:t xml:space="preserve">. 3. melléklete I/B. fejezet 4. pontja értelmében az </w:t>
      </w:r>
      <w:proofErr w:type="spellStart"/>
      <w:r w:rsidRPr="00AB0AE2">
        <w:rPr>
          <w:sz w:val="20"/>
          <w:szCs w:val="20"/>
        </w:rPr>
        <w:t>Nftv</w:t>
      </w:r>
      <w:proofErr w:type="spellEnd"/>
      <w:r w:rsidRPr="00AB0AE2">
        <w:rPr>
          <w:sz w:val="20"/>
          <w:szCs w:val="20"/>
        </w:rPr>
        <w:t xml:space="preserve">. 3. melléklete I/B. fejezet 1. pontjában felsorolt adatok továbbíthatók: </w:t>
      </w:r>
    </w:p>
    <w:p w:rsidR="0055149E" w:rsidRPr="00AB0AE2" w:rsidRDefault="0055149E" w:rsidP="00E1039E">
      <w:pPr>
        <w:pStyle w:val="NormlWeb"/>
        <w:numPr>
          <w:ilvl w:val="0"/>
          <w:numId w:val="3"/>
        </w:numPr>
        <w:spacing w:before="0" w:beforeAutospacing="0" w:after="0" w:afterAutospacing="0"/>
        <w:ind w:left="714" w:right="147" w:hanging="357"/>
        <w:jc w:val="both"/>
        <w:rPr>
          <w:sz w:val="20"/>
          <w:szCs w:val="20"/>
        </w:rPr>
      </w:pPr>
      <w:r w:rsidRPr="00AB0AE2">
        <w:rPr>
          <w:sz w:val="20"/>
          <w:szCs w:val="20"/>
        </w:rPr>
        <w:t>a fenntartónak valamennyi adat, a fenntartói irányítással összefüggő feladatok ellátásához;</w:t>
      </w:r>
    </w:p>
    <w:p w:rsidR="0055149E" w:rsidRPr="00AB0AE2" w:rsidRDefault="0055149E" w:rsidP="00E1039E">
      <w:pPr>
        <w:pStyle w:val="NormlWeb"/>
        <w:numPr>
          <w:ilvl w:val="0"/>
          <w:numId w:val="3"/>
        </w:numPr>
        <w:spacing w:before="0" w:beforeAutospacing="0" w:after="0" w:afterAutospacing="0"/>
        <w:ind w:left="714" w:right="147" w:hanging="357"/>
        <w:jc w:val="both"/>
        <w:rPr>
          <w:sz w:val="20"/>
          <w:szCs w:val="20"/>
        </w:rPr>
      </w:pPr>
      <w:r w:rsidRPr="00AB0AE2">
        <w:rPr>
          <w:sz w:val="20"/>
          <w:szCs w:val="20"/>
        </w:rPr>
        <w:t>a bíróságnak, a rendőrségnek, az ügyészségnek, a bírósági végrehajtónak, az államigazgatási szervnek a konkrét ügy eldöntéséhez szükséges adat;</w:t>
      </w:r>
    </w:p>
    <w:p w:rsidR="0055149E" w:rsidRPr="00AB0AE2" w:rsidRDefault="0055149E" w:rsidP="00E1039E">
      <w:pPr>
        <w:pStyle w:val="NormlWeb"/>
        <w:numPr>
          <w:ilvl w:val="0"/>
          <w:numId w:val="3"/>
        </w:numPr>
        <w:spacing w:before="0" w:beforeAutospacing="0" w:after="0" w:afterAutospacing="0"/>
        <w:ind w:left="714" w:right="147" w:hanging="357"/>
        <w:jc w:val="both"/>
        <w:rPr>
          <w:sz w:val="20"/>
          <w:szCs w:val="20"/>
        </w:rPr>
      </w:pPr>
      <w:r w:rsidRPr="00AB0AE2">
        <w:rPr>
          <w:sz w:val="20"/>
          <w:szCs w:val="20"/>
        </w:rPr>
        <w:t xml:space="preserve">a nemzetbiztonsági szolgálatnak </w:t>
      </w:r>
      <w:r w:rsidRPr="002D6D42">
        <w:rPr>
          <w:sz w:val="20"/>
          <w:szCs w:val="20"/>
        </w:rPr>
        <w:t>a</w:t>
      </w:r>
      <w:r w:rsidRPr="002D6D42">
        <w:rPr>
          <w:bCs/>
          <w:sz w:val="20"/>
          <w:szCs w:val="20"/>
        </w:rPr>
        <w:t xml:space="preserve"> nemzetbiztonsági szolgálatokról</w:t>
      </w:r>
      <w:bookmarkStart w:id="2" w:name="foot_1_place"/>
      <w:bookmarkEnd w:id="2"/>
      <w:r w:rsidRPr="002D6D42">
        <w:rPr>
          <w:bCs/>
          <w:sz w:val="20"/>
          <w:szCs w:val="20"/>
        </w:rPr>
        <w:t xml:space="preserve"> szóló 1995. évi CXXV. törvényben</w:t>
      </w:r>
      <w:r w:rsidRPr="002D6D42">
        <w:rPr>
          <w:sz w:val="20"/>
          <w:szCs w:val="20"/>
        </w:rPr>
        <w:t xml:space="preserve"> meghatározott </w:t>
      </w:r>
      <w:r w:rsidRPr="00AB0AE2">
        <w:rPr>
          <w:sz w:val="20"/>
          <w:szCs w:val="20"/>
        </w:rPr>
        <w:t>feladatok ellátásához szükséges valamennyi adat;</w:t>
      </w:r>
    </w:p>
    <w:p w:rsidR="0055149E" w:rsidRPr="00AB0AE2" w:rsidRDefault="0055149E" w:rsidP="00E1039E">
      <w:pPr>
        <w:pStyle w:val="NormlWeb"/>
        <w:numPr>
          <w:ilvl w:val="0"/>
          <w:numId w:val="3"/>
        </w:numPr>
        <w:spacing w:before="0" w:beforeAutospacing="0" w:after="0" w:afterAutospacing="0"/>
        <w:ind w:left="714" w:right="147" w:hanging="357"/>
        <w:jc w:val="both"/>
        <w:rPr>
          <w:sz w:val="20"/>
          <w:szCs w:val="20"/>
        </w:rPr>
      </w:pPr>
      <w:r w:rsidRPr="00AB0AE2">
        <w:rPr>
          <w:sz w:val="20"/>
          <w:szCs w:val="20"/>
        </w:rPr>
        <w:t>a felsőoktatási információs rendszer működéséért felelős szerv részére valamennyi adat.</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8. Az adatkezelés időtartama</w:t>
      </w:r>
    </w:p>
    <w:p w:rsidR="0055149E" w:rsidRPr="00AB0AE2" w:rsidRDefault="0055149E" w:rsidP="0055149E">
      <w:pPr>
        <w:pStyle w:val="NormlWeb"/>
        <w:spacing w:before="60" w:beforeAutospacing="0" w:after="60" w:afterAutospacing="0"/>
        <w:ind w:right="150"/>
        <w:jc w:val="both"/>
        <w:rPr>
          <w:sz w:val="20"/>
          <w:szCs w:val="20"/>
        </w:rPr>
      </w:pPr>
      <w:r>
        <w:rPr>
          <w:sz w:val="20"/>
          <w:szCs w:val="20"/>
        </w:rPr>
        <w:t>A</w:t>
      </w:r>
      <w:r w:rsidRPr="00AB0AE2">
        <w:rPr>
          <w:sz w:val="20"/>
          <w:szCs w:val="20"/>
        </w:rPr>
        <w:t xml:space="preserve">z </w:t>
      </w:r>
      <w:proofErr w:type="spellStart"/>
      <w:r w:rsidRPr="00AB0AE2">
        <w:rPr>
          <w:sz w:val="20"/>
          <w:szCs w:val="20"/>
        </w:rPr>
        <w:t>Nftv</w:t>
      </w:r>
      <w:proofErr w:type="spellEnd"/>
      <w:r w:rsidRPr="00AB0AE2">
        <w:rPr>
          <w:sz w:val="20"/>
          <w:szCs w:val="20"/>
        </w:rPr>
        <w:t>. 3. melléklete I/B. fejezet 3. pontja szerint az adatkezelés időtartama: a hallgatói jogviszony megszűnésére vonatkozó bejelentéstől számított nyolcvan év.</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9. Az adatszolgáltatásának elmaradásához kapcsolódó következmények</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Az adatszolgáltatás elmaradása</w:t>
      </w:r>
      <w:r w:rsidR="00E1039E">
        <w:rPr>
          <w:sz w:val="20"/>
          <w:szCs w:val="20"/>
        </w:rPr>
        <w:t xml:space="preserve"> </w:t>
      </w:r>
      <w:r w:rsidRPr="00AB0AE2">
        <w:rPr>
          <w:sz w:val="20"/>
          <w:szCs w:val="20"/>
        </w:rPr>
        <w:t xml:space="preserve">ellehetetlenítheti </w:t>
      </w:r>
      <w:r>
        <w:rPr>
          <w:sz w:val="20"/>
          <w:szCs w:val="20"/>
        </w:rPr>
        <w:t>valamely későbbi, fogyatékosságra alapozott kérelem vagy pályázat</w:t>
      </w:r>
      <w:r w:rsidRPr="00AB0AE2">
        <w:rPr>
          <w:sz w:val="20"/>
          <w:szCs w:val="20"/>
        </w:rPr>
        <w:t xml:space="preserve"> értékelését, a vonatkozó eljárás átláthatóságát, ellenőrzését, a jogosultság i</w:t>
      </w:r>
      <w:r>
        <w:rPr>
          <w:sz w:val="20"/>
          <w:szCs w:val="20"/>
        </w:rPr>
        <w:t xml:space="preserve">gazolását, amire tekintettel a pályázat, </w:t>
      </w:r>
      <w:r w:rsidRPr="00AB0AE2">
        <w:rPr>
          <w:sz w:val="20"/>
          <w:szCs w:val="20"/>
        </w:rPr>
        <w:t>kérelem elutasítható, illetve kezdeményezhető a biztosított kedvezmény, mentesség visszavonása.</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10. Az adatok védelme</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Az Egyetem minden ésszerű intézkedést megtesz annak érdekében, hogy az általa kezelt adatok illetéktelenek számára ne legyenek hozzáférhetőek. Az adatokhoz korlátozott a hozzáférés, jelszavas védelem működik. Az Egyetem rendelkezik a személyes és közérdekű adatok védelméről, biztonságáról szóló szabályzattal</w:t>
      </w:r>
      <w:r>
        <w:rPr>
          <w:sz w:val="20"/>
          <w:szCs w:val="20"/>
        </w:rPr>
        <w:t xml:space="preserve">, </w:t>
      </w:r>
      <w:r w:rsidRPr="00AB0AE2">
        <w:rPr>
          <w:sz w:val="20"/>
          <w:szCs w:val="20"/>
        </w:rPr>
        <w:t>Inform</w:t>
      </w:r>
      <w:r>
        <w:rPr>
          <w:sz w:val="20"/>
          <w:szCs w:val="20"/>
        </w:rPr>
        <w:t xml:space="preserve">atikai Biztonsági Szabályzattal, </w:t>
      </w:r>
      <w:proofErr w:type="spellStart"/>
      <w:r w:rsidRPr="00AB0AE2">
        <w:rPr>
          <w:sz w:val="20"/>
          <w:szCs w:val="20"/>
        </w:rPr>
        <w:t>Neptu</w:t>
      </w:r>
      <w:r>
        <w:rPr>
          <w:sz w:val="20"/>
          <w:szCs w:val="20"/>
        </w:rPr>
        <w:t>n</w:t>
      </w:r>
      <w:proofErr w:type="spellEnd"/>
      <w:r>
        <w:rPr>
          <w:sz w:val="20"/>
          <w:szCs w:val="20"/>
        </w:rPr>
        <w:t xml:space="preserve"> Szabályzattal, melyek a honlapról elérhetőek. </w:t>
      </w:r>
      <w:r w:rsidRPr="00AB0AE2">
        <w:rPr>
          <w:sz w:val="20"/>
          <w:szCs w:val="20"/>
        </w:rPr>
        <w:t xml:space="preserve">Adatkezelő kiemelt figyelmet fordít az adatok bizalmas kezelésére. A fenti cél érdekében adatkezelő a kezelésében lévő adatokat kizárólag a saját rendelkezése alatt lévő szervereken tárolja. </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11. Automatizált adatkezelés (beleértve a profilalkotást)</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Automatizált adatkezelésen alapuló döntéshozatal nem történik. </w:t>
      </w:r>
    </w:p>
    <w:p w:rsidR="0055149E" w:rsidRPr="00AB0AE2" w:rsidRDefault="0055149E" w:rsidP="0055149E">
      <w:pPr>
        <w:pStyle w:val="NormlWeb"/>
        <w:spacing w:before="60" w:beforeAutospacing="0" w:after="60" w:afterAutospacing="0"/>
        <w:ind w:right="150"/>
        <w:jc w:val="both"/>
        <w:rPr>
          <w:b/>
          <w:sz w:val="20"/>
          <w:szCs w:val="20"/>
        </w:rPr>
      </w:pPr>
      <w:r w:rsidRPr="00AB0AE2">
        <w:rPr>
          <w:b/>
          <w:sz w:val="20"/>
          <w:szCs w:val="20"/>
        </w:rPr>
        <w:t>12. Jogok gyakorlása, jogorvoslat</w:t>
      </w:r>
    </w:p>
    <w:p w:rsidR="0055149E" w:rsidRPr="00AB0AE2" w:rsidRDefault="0055149E" w:rsidP="0055149E">
      <w:pPr>
        <w:pStyle w:val="NormlWeb"/>
        <w:spacing w:before="60" w:beforeAutospacing="0" w:after="60" w:afterAutospacing="0"/>
        <w:ind w:right="150"/>
        <w:jc w:val="both"/>
        <w:rPr>
          <w:sz w:val="20"/>
          <w:szCs w:val="20"/>
        </w:rPr>
      </w:pPr>
      <w:r w:rsidRPr="00AB0AE2">
        <w:rPr>
          <w:sz w:val="20"/>
          <w:szCs w:val="20"/>
        </w:rPr>
        <w:t xml:space="preserve">Az érintett az adatkezelés teljes időtartama alatt élhet a </w:t>
      </w:r>
      <w:proofErr w:type="spellStart"/>
      <w:r w:rsidRPr="00AB0AE2">
        <w:rPr>
          <w:sz w:val="20"/>
          <w:szCs w:val="20"/>
        </w:rPr>
        <w:t>GDPR-ban</w:t>
      </w:r>
      <w:proofErr w:type="spellEnd"/>
      <w:r w:rsidRPr="00AB0AE2">
        <w:rPr>
          <w:sz w:val="20"/>
          <w:szCs w:val="20"/>
        </w:rPr>
        <w:t xml:space="preserve">, illetve az </w:t>
      </w:r>
      <w:proofErr w:type="spellStart"/>
      <w:r>
        <w:rPr>
          <w:sz w:val="20"/>
          <w:szCs w:val="20"/>
        </w:rPr>
        <w:t>Info</w:t>
      </w:r>
      <w:proofErr w:type="spellEnd"/>
      <w:r>
        <w:rPr>
          <w:sz w:val="20"/>
          <w:szCs w:val="20"/>
        </w:rPr>
        <w:t xml:space="preserve"> </w:t>
      </w:r>
      <w:proofErr w:type="spellStart"/>
      <w:r>
        <w:rPr>
          <w:sz w:val="20"/>
          <w:szCs w:val="20"/>
        </w:rPr>
        <w:t>tv.ben</w:t>
      </w:r>
      <w:proofErr w:type="spellEnd"/>
      <w:r w:rsidRPr="005A66B9">
        <w:rPr>
          <w:sz w:val="20"/>
          <w:szCs w:val="20"/>
        </w:rPr>
        <w:t xml:space="preserve"> </w:t>
      </w:r>
      <w:r w:rsidRPr="00AB0AE2">
        <w:rPr>
          <w:sz w:val="20"/>
          <w:szCs w:val="20"/>
        </w:rPr>
        <w:t>biztosított jogaival. Az érintett kérelmezheti a rá vonatkozó személyes adatok</w:t>
      </w:r>
      <w:r>
        <w:rPr>
          <w:sz w:val="20"/>
          <w:szCs w:val="20"/>
        </w:rPr>
        <w:t xml:space="preserve"> tekintetében:</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sidRPr="00AB0AE2">
        <w:rPr>
          <w:sz w:val="20"/>
          <w:szCs w:val="20"/>
        </w:rPr>
        <w:t xml:space="preserve">hozzáférést (az érintett jogosult arra, hogy az adatkezelőtől visszajelzést kapjon arra vonatkozóan, hogy személyes adatainak kezelése folyamatban van-e, és ha ilyen adatkezelés folyamatban van, jogosult arra, hogy a személyes adatokhoz és a </w:t>
      </w:r>
      <w:proofErr w:type="spellStart"/>
      <w:r w:rsidRPr="00AB0AE2">
        <w:rPr>
          <w:sz w:val="20"/>
          <w:szCs w:val="20"/>
        </w:rPr>
        <w:t>GDPR-ban</w:t>
      </w:r>
      <w:proofErr w:type="spellEnd"/>
      <w:r w:rsidRPr="00AB0AE2">
        <w:rPr>
          <w:sz w:val="20"/>
          <w:szCs w:val="20"/>
        </w:rPr>
        <w:t xml:space="preserve"> meghatározott információkhoz hozzáférést kapjon) (GDPR 15. cikk),</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sidRPr="00AB0AE2">
        <w:rPr>
          <w:sz w:val="20"/>
          <w:szCs w:val="20"/>
        </w:rPr>
        <w:t>helyesbítést (az érintett jogosult arra, hogy kérésére az adatkezelő indokolatlan késedelem nélkül helyesbítse a rá vonatkozó pontatlan személyes adatokat – figyelembe véve az adatkezelés célját, az érintett jogosult arra, hogy kérje a hiányos személyes adatok, egyebek mellett kiegészítő nyilatkozat útján történő kiegészítését) (GDPR 16. cikk),</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sidRPr="00AB0AE2">
        <w:rPr>
          <w:sz w:val="20"/>
          <w:szCs w:val="20"/>
        </w:rPr>
        <w:lastRenderedPageBreak/>
        <w:t xml:space="preserve">törlését (az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w:t>
      </w:r>
      <w:r w:rsidR="007E1D6E" w:rsidRPr="004C7FDA">
        <w:rPr>
          <w:sz w:val="20"/>
          <w:szCs w:val="20"/>
        </w:rPr>
        <w:t xml:space="preserve">a GDPR 6. cikk (1) bekezdés </w:t>
      </w:r>
      <w:r w:rsidR="007E1D6E" w:rsidRPr="004C7FDA">
        <w:rPr>
          <w:i/>
          <w:sz w:val="20"/>
          <w:szCs w:val="20"/>
        </w:rPr>
        <w:t>c)</w:t>
      </w:r>
      <w:r w:rsidR="007E1D6E" w:rsidRPr="004C7FDA">
        <w:rPr>
          <w:sz w:val="20"/>
          <w:szCs w:val="20"/>
        </w:rPr>
        <w:t xml:space="preserve"> és </w:t>
      </w:r>
      <w:r w:rsidR="007E1D6E" w:rsidRPr="004C7FDA">
        <w:rPr>
          <w:i/>
          <w:sz w:val="20"/>
          <w:szCs w:val="20"/>
        </w:rPr>
        <w:t>e)</w:t>
      </w:r>
      <w:r w:rsidR="007E1D6E" w:rsidRPr="004C7FDA">
        <w:rPr>
          <w:sz w:val="20"/>
          <w:szCs w:val="20"/>
        </w:rPr>
        <w:t xml:space="preserve"> pont alapján végzett</w:t>
      </w:r>
      <w:r w:rsidR="008A6E40">
        <w:rPr>
          <w:sz w:val="20"/>
          <w:szCs w:val="20"/>
        </w:rPr>
        <w:t xml:space="preserve"> – törvényen alapuló - </w:t>
      </w:r>
      <w:r w:rsidR="007E1D6E" w:rsidRPr="004C7FDA">
        <w:rPr>
          <w:sz w:val="20"/>
          <w:szCs w:val="20"/>
        </w:rPr>
        <w:t xml:space="preserve"> adatkezelés </w:t>
      </w:r>
      <w:r w:rsidRPr="004C7FDA">
        <w:rPr>
          <w:sz w:val="20"/>
          <w:szCs w:val="20"/>
        </w:rPr>
        <w:t>esetén</w:t>
      </w:r>
      <w:r w:rsidR="008A6E40">
        <w:rPr>
          <w:sz w:val="20"/>
          <w:szCs w:val="20"/>
        </w:rPr>
        <w:t xml:space="preserve"> a</w:t>
      </w:r>
      <w:r w:rsidRPr="004C7FDA">
        <w:rPr>
          <w:sz w:val="20"/>
          <w:szCs w:val="20"/>
        </w:rPr>
        <w:t xml:space="preserve"> törlési kérelem nem teljesíthető</w:t>
      </w:r>
      <w:r w:rsidRPr="00AB0AE2">
        <w:rPr>
          <w:sz w:val="20"/>
          <w:szCs w:val="20"/>
        </w:rPr>
        <w:t>) (GDPR 17. cikk),</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Pr>
          <w:sz w:val="20"/>
          <w:szCs w:val="20"/>
        </w:rPr>
        <w:t>az adatkezelés</w:t>
      </w:r>
      <w:r w:rsidRPr="00AB0AE2">
        <w:rPr>
          <w:sz w:val="20"/>
          <w:szCs w:val="20"/>
        </w:rPr>
        <w:t xml:space="preserve"> korlátozását (az érintett jogosult arra, hogy kérésére az adatkezelő korlátozza az adatkezelést, ha a </w:t>
      </w:r>
      <w:proofErr w:type="spellStart"/>
      <w:r w:rsidRPr="00AB0AE2">
        <w:rPr>
          <w:sz w:val="20"/>
          <w:szCs w:val="20"/>
        </w:rPr>
        <w:t>GDPR-ban</w:t>
      </w:r>
      <w:proofErr w:type="spellEnd"/>
      <w:r w:rsidRPr="00AB0AE2">
        <w:rPr>
          <w:sz w:val="20"/>
          <w:szCs w:val="20"/>
        </w:rPr>
        <w:t xml:space="preserve"> foglalt feltétel teljesül) (GDPR 18. cikk),</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sidRPr="00AB0AE2">
        <w:rPr>
          <w:sz w:val="20"/>
          <w:szCs w:val="20"/>
        </w:rPr>
        <w:t xml:space="preserve">adathordozhatósághoz való jogát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w:t>
      </w:r>
      <w:proofErr w:type="spellStart"/>
      <w:r w:rsidRPr="00AB0AE2">
        <w:rPr>
          <w:sz w:val="20"/>
          <w:szCs w:val="20"/>
        </w:rPr>
        <w:t>az</w:t>
      </w:r>
      <w:proofErr w:type="spellEnd"/>
      <w:r w:rsidRPr="00AB0AE2">
        <w:rPr>
          <w:sz w:val="20"/>
          <w:szCs w:val="20"/>
        </w:rPr>
        <w:t xml:space="preserve"> adatkezelő, amelynek a személyes adatokat a rendelkezésére bocsátotta, a </w:t>
      </w:r>
      <w:proofErr w:type="spellStart"/>
      <w:r w:rsidRPr="00AB0AE2">
        <w:rPr>
          <w:sz w:val="20"/>
          <w:szCs w:val="20"/>
        </w:rPr>
        <w:t>GDPR-ban</w:t>
      </w:r>
      <w:proofErr w:type="spellEnd"/>
      <w:r w:rsidRPr="00AB0AE2">
        <w:rPr>
          <w:sz w:val="20"/>
          <w:szCs w:val="20"/>
        </w:rPr>
        <w:t xml:space="preserve"> foglalt feltételek fennállása esetén) (GDPR 20. cikk),</w:t>
      </w:r>
    </w:p>
    <w:p w:rsidR="0055149E" w:rsidRPr="00AB0AE2" w:rsidRDefault="0055149E" w:rsidP="00E1039E">
      <w:pPr>
        <w:pStyle w:val="NormlWeb"/>
        <w:numPr>
          <w:ilvl w:val="0"/>
          <w:numId w:val="4"/>
        </w:numPr>
        <w:spacing w:before="0" w:beforeAutospacing="0" w:after="0" w:afterAutospacing="0"/>
        <w:ind w:left="641" w:right="147" w:hanging="357"/>
        <w:jc w:val="both"/>
        <w:rPr>
          <w:sz w:val="20"/>
          <w:szCs w:val="20"/>
        </w:rPr>
      </w:pPr>
      <w:r w:rsidRPr="00AB0AE2">
        <w:rPr>
          <w:sz w:val="20"/>
          <w:szCs w:val="20"/>
        </w:rPr>
        <w:t xml:space="preserve">tiltakozhat személyes adatok kezelése ellen (az érintett jogosult arra, hogy a saját helyzetével kapcsolatos okokból bármikor tiltakozzon személyes adatainak a 6. cikk (1) bekezdésének </w:t>
      </w:r>
      <w:r w:rsidRPr="00AB0AE2">
        <w:rPr>
          <w:i/>
          <w:sz w:val="20"/>
          <w:szCs w:val="20"/>
        </w:rPr>
        <w:t xml:space="preserve">e) </w:t>
      </w:r>
      <w:r w:rsidRPr="00AB0AE2">
        <w:rPr>
          <w:sz w:val="20"/>
          <w:szCs w:val="20"/>
        </w:rPr>
        <w:t xml:space="preserve">vagy </w:t>
      </w:r>
      <w:r w:rsidRPr="00AB0AE2">
        <w:rPr>
          <w:i/>
          <w:sz w:val="20"/>
          <w:szCs w:val="20"/>
        </w:rPr>
        <w:t>f)</w:t>
      </w:r>
      <w:r w:rsidRPr="00AB0AE2">
        <w:rPr>
          <w:sz w:val="20"/>
          <w:szCs w:val="20"/>
        </w:rPr>
        <w:t xml:space="preserve">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rsidR="0055149E" w:rsidRPr="005A66B9" w:rsidRDefault="0055149E" w:rsidP="0055149E">
      <w:pPr>
        <w:pStyle w:val="NormlWeb"/>
        <w:spacing w:before="60" w:beforeAutospacing="0" w:after="60" w:afterAutospacing="0"/>
        <w:ind w:right="150"/>
        <w:jc w:val="both"/>
        <w:rPr>
          <w:sz w:val="20"/>
          <w:szCs w:val="20"/>
        </w:rPr>
      </w:pPr>
      <w:r w:rsidRPr="00AB0AE2">
        <w:rPr>
          <w:sz w:val="20"/>
          <w:szCs w:val="20"/>
        </w:rPr>
        <w:t>A kérelmet az adatkezelő postacímére</w:t>
      </w:r>
      <w:r>
        <w:rPr>
          <w:sz w:val="20"/>
          <w:szCs w:val="20"/>
        </w:rPr>
        <w:t xml:space="preserve">, az </w:t>
      </w:r>
      <w:hyperlink r:id="rId12" w:history="1">
        <w:r w:rsidRPr="004625E5">
          <w:rPr>
            <w:rStyle w:val="Hiperhivatkozs"/>
            <w:sz w:val="20"/>
            <w:szCs w:val="20"/>
          </w:rPr>
          <w:t>eselyegyenloseg@uni-nke.hu</w:t>
        </w:r>
      </w:hyperlink>
      <w:r>
        <w:rPr>
          <w:sz w:val="20"/>
          <w:szCs w:val="20"/>
        </w:rPr>
        <w:t xml:space="preserve"> e-mail címére</w:t>
      </w:r>
      <w:r w:rsidRPr="00AB0AE2">
        <w:rPr>
          <w:sz w:val="20"/>
          <w:szCs w:val="20"/>
        </w:rPr>
        <w:t xml:space="preserve"> vagy az </w:t>
      </w:r>
      <w:hyperlink r:id="rId13" w:history="1">
        <w:r w:rsidRPr="00AB0AE2">
          <w:rPr>
            <w:rStyle w:val="Hiperhivatkozs"/>
            <w:sz w:val="20"/>
            <w:szCs w:val="20"/>
          </w:rPr>
          <w:t>adatvedelem@uni-nke.hu</w:t>
        </w:r>
      </w:hyperlink>
      <w:r w:rsidRPr="00AB0AE2">
        <w:rPr>
          <w:sz w:val="20"/>
          <w:szCs w:val="20"/>
        </w:rPr>
        <w:t xml:space="preserve"> e-mail címére kell benyújtani. </w:t>
      </w:r>
      <w:r w:rsidRPr="005A66B9">
        <w:rPr>
          <w:sz w:val="20"/>
          <w:szCs w:val="20"/>
        </w:rPr>
        <w:t>Az adatkezelő indokolatlan késedelem nélkül, de mindenféleképpen a kérelem beérkezésétől számított egy hónapon belül a kérelem nyomán tett intézkedésekről írásban tájékoztatást ad az érintett részére.</w:t>
      </w:r>
      <w:r w:rsidRPr="005A66B9">
        <w:rPr>
          <w:b/>
          <w:sz w:val="20"/>
          <w:szCs w:val="20"/>
        </w:rPr>
        <w:t xml:space="preserve"> </w:t>
      </w:r>
      <w:r w:rsidRPr="005A66B9">
        <w:rPr>
          <w:sz w:val="20"/>
          <w:szCs w:val="20"/>
        </w:rPr>
        <w:t xml:space="preserve">Az adatkezelő a helyesbítésről, törlésről vagy adatkezelés-korlátozásról minden olyan címzettet tájékoztat, akivel vagy amellyel a személyes adatot közölték kivéve ha ez lehetetlennek bizonyul, vagy aránytalanul nagy erőfeszítést igényel. Az érintett kérésére az adatkezelő tájékoztatja e címzettekről. Ha az adatkezelő az érintett kérelme nyomán nem tesz intézkedéseket, késedelem nélkül, de legkésőbb a kérelem beérkezésétől számított egy hónapon belül tájékoztatja az érintettet az intézkedés elmaradásának okairól, valamint arról, hogy az érintett panaszt nyújthat be a felügyeleti hatóságnál, és élhet bírósági jogérvényesítési jogával. </w:t>
      </w:r>
    </w:p>
    <w:p w:rsidR="0055149E" w:rsidRPr="005A66B9" w:rsidRDefault="0055149E" w:rsidP="0055149E">
      <w:pPr>
        <w:pStyle w:val="NormlWeb"/>
        <w:spacing w:before="60" w:beforeAutospacing="0" w:after="60" w:afterAutospacing="0"/>
        <w:ind w:right="150"/>
        <w:jc w:val="both"/>
        <w:rPr>
          <w:sz w:val="20"/>
          <w:szCs w:val="20"/>
        </w:rPr>
      </w:pPr>
      <w:r w:rsidRPr="005A66B9">
        <w:rPr>
          <w:bCs/>
          <w:sz w:val="20"/>
          <w:szCs w:val="20"/>
        </w:rPr>
        <w:t xml:space="preserve">Az érintett </w:t>
      </w:r>
      <w:r w:rsidRPr="005A66B9">
        <w:rPr>
          <w:sz w:val="20"/>
          <w:szCs w:val="20"/>
        </w:rPr>
        <w:t xml:space="preserve">az adatkezelő vagy az adatfeldolgozó ellen bírósághoz fordulhat, ha a megítélése szerint az adatkezelő a személyes adatait a személyes adatok kezelésére vonatkozó, jogszabályban vagy az Európai Unió kötelező jogi aktusában meghatározott előírások megsértésével kezeli (a továbbiakban: bírósági jogérvényesítés). A pert az érintett - választása szerint - a lakóhelye vagy tartózkodási helye szerint illetékes törvényszék előtt is megindíthatja. A bírósági jogérvényesítés részletes szabályait az </w:t>
      </w:r>
      <w:proofErr w:type="spellStart"/>
      <w:r w:rsidRPr="005A66B9">
        <w:rPr>
          <w:sz w:val="20"/>
          <w:szCs w:val="20"/>
        </w:rPr>
        <w:t>Infotv</w:t>
      </w:r>
      <w:proofErr w:type="spellEnd"/>
      <w:r w:rsidRPr="005A66B9">
        <w:rPr>
          <w:sz w:val="20"/>
          <w:szCs w:val="20"/>
        </w:rPr>
        <w:t>. 23. §</w:t>
      </w:r>
      <w:proofErr w:type="spellStart"/>
      <w:r w:rsidRPr="005A66B9">
        <w:rPr>
          <w:sz w:val="20"/>
          <w:szCs w:val="20"/>
        </w:rPr>
        <w:t>-a</w:t>
      </w:r>
      <w:proofErr w:type="spellEnd"/>
      <w:r w:rsidRPr="005A66B9">
        <w:rPr>
          <w:sz w:val="20"/>
          <w:szCs w:val="20"/>
        </w:rPr>
        <w:t xml:space="preserve"> és a GDPR 79. cikke tartalmazza. Az érintett továbbá a Nemzeti Adatvédelmi és Információszabadság Hatóságnál (1125 Budapest, Szilágyi Erzsébet fasor 22/c., tel.: 06-1-391-1400, honlap URL címe: </w:t>
      </w:r>
      <w:hyperlink r:id="rId14" w:history="1">
        <w:r w:rsidRPr="005A66B9">
          <w:rPr>
            <w:rStyle w:val="Hiperhivatkozs"/>
            <w:sz w:val="20"/>
            <w:szCs w:val="20"/>
          </w:rPr>
          <w:t>http://naih.hu</w:t>
        </w:r>
      </w:hyperlink>
      <w:r w:rsidRPr="005A66B9">
        <w:rPr>
          <w:sz w:val="20"/>
          <w:szCs w:val="20"/>
        </w:rPr>
        <w:t xml:space="preserve">, elektronikus levelezési cím: </w:t>
      </w:r>
      <w:hyperlink r:id="rId15" w:history="1">
        <w:r w:rsidRPr="005A66B9">
          <w:rPr>
            <w:rStyle w:val="Hiperhivatkozs"/>
            <w:sz w:val="20"/>
            <w:szCs w:val="20"/>
          </w:rPr>
          <w:t>ugyfelszolgalat@naih.hu</w:t>
        </w:r>
      </w:hyperlink>
      <w:r w:rsidRPr="005A66B9">
        <w:rPr>
          <w:sz w:val="20"/>
          <w:szCs w:val="20"/>
        </w:rPr>
        <w:t>) is bejelentéssel vizsgálatot kezdeményezhet arra hivatkozással, hogy személyes adatok kezelésével kapcsolatban jogsérelem következett be, vagy annak közvetlen veszélye fennáll.</w:t>
      </w:r>
    </w:p>
    <w:p w:rsidR="00AB0AE2" w:rsidRPr="00EF4922" w:rsidRDefault="00AB0AE2" w:rsidP="0055149E">
      <w:pPr>
        <w:pStyle w:val="NormlWeb"/>
        <w:spacing w:before="60" w:beforeAutospacing="0" w:after="60" w:afterAutospacing="0"/>
        <w:ind w:right="150"/>
        <w:jc w:val="both"/>
        <w:rPr>
          <w:sz w:val="20"/>
          <w:szCs w:val="20"/>
        </w:rPr>
      </w:pPr>
    </w:p>
    <w:sectPr w:rsidR="00AB0AE2" w:rsidRPr="00EF4922" w:rsidSect="00C43F14">
      <w:footerReference w:type="default" r:id="rId16"/>
      <w:pgSz w:w="11906" w:h="16838"/>
      <w:pgMar w:top="964" w:right="1021" w:bottom="96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FC" w:rsidRDefault="00E641FC" w:rsidP="00C011A5">
      <w:pPr>
        <w:spacing w:after="0" w:line="240" w:lineRule="auto"/>
      </w:pPr>
      <w:r>
        <w:separator/>
      </w:r>
    </w:p>
  </w:endnote>
  <w:endnote w:type="continuationSeparator" w:id="0">
    <w:p w:rsidR="00E641FC" w:rsidRDefault="00E641FC" w:rsidP="00C01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354227"/>
      <w:docPartObj>
        <w:docPartGallery w:val="Page Numbers (Bottom of Page)"/>
        <w:docPartUnique/>
      </w:docPartObj>
    </w:sdtPr>
    <w:sdtContent>
      <w:p w:rsidR="00EB5F1C" w:rsidRDefault="007E5002">
        <w:pPr>
          <w:pStyle w:val="llb"/>
          <w:jc w:val="center"/>
        </w:pPr>
        <w:r>
          <w:fldChar w:fldCharType="begin"/>
        </w:r>
        <w:r w:rsidR="00EB5F1C">
          <w:instrText>PAGE   \* MERGEFORMAT</w:instrText>
        </w:r>
        <w:r>
          <w:fldChar w:fldCharType="separate"/>
        </w:r>
        <w:r w:rsidR="005074BC">
          <w:rPr>
            <w:noProof/>
          </w:rPr>
          <w:t>3</w:t>
        </w:r>
        <w:r>
          <w:fldChar w:fldCharType="end"/>
        </w:r>
      </w:p>
    </w:sdtContent>
  </w:sdt>
  <w:p w:rsidR="00EB5F1C" w:rsidRDefault="00EB5F1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FC" w:rsidRDefault="00E641FC" w:rsidP="00C011A5">
      <w:pPr>
        <w:spacing w:after="0" w:line="240" w:lineRule="auto"/>
      </w:pPr>
      <w:r>
        <w:separator/>
      </w:r>
    </w:p>
  </w:footnote>
  <w:footnote w:type="continuationSeparator" w:id="0">
    <w:p w:rsidR="00E641FC" w:rsidRDefault="00E641FC" w:rsidP="00C011A5">
      <w:pPr>
        <w:spacing w:after="0" w:line="240" w:lineRule="auto"/>
      </w:pPr>
      <w:r>
        <w:continuationSeparator/>
      </w:r>
    </w:p>
  </w:footnote>
  <w:footnote w:id="1">
    <w:p w:rsidR="00CB6653" w:rsidRPr="0083451C" w:rsidRDefault="00CB6653" w:rsidP="00CB6653">
      <w:pPr>
        <w:pStyle w:val="Lbjegyzetszveg"/>
        <w:rPr>
          <w:rFonts w:ascii="Times New Roman" w:hAnsi="Times New Roman" w:cs="Times New Roman"/>
        </w:rPr>
      </w:pPr>
      <w:r w:rsidRPr="00CB6653">
        <w:rPr>
          <w:rStyle w:val="Lbjegyzet-hivatkozs"/>
          <w:rFonts w:ascii="Times New Roman" w:hAnsi="Times New Roman" w:cs="Times New Roman"/>
        </w:rPr>
        <w:footnoteRef/>
      </w:r>
      <w:r w:rsidRPr="00CB6653">
        <w:rPr>
          <w:rFonts w:ascii="Times New Roman" w:hAnsi="Times New Roman" w:cs="Times New Roman"/>
        </w:rPr>
        <w:t xml:space="preserve"> Fogyatékosság típusának megnevezése: beszédfogyatékos, hallássérült, látássérült, mozgáskorlátozott, pszichés fejlődési zavar, </w:t>
      </w:r>
      <w:r w:rsidRPr="0083451C">
        <w:rPr>
          <w:rFonts w:ascii="Times New Roman" w:hAnsi="Times New Roman" w:cs="Times New Roman"/>
        </w:rPr>
        <w:t>egyéb</w:t>
      </w:r>
      <w:r w:rsidR="0083451C" w:rsidRPr="0083451C">
        <w:rPr>
          <w:rFonts w:ascii="Times New Roman" w:hAnsi="Times New Roman" w:cs="Times New Roman"/>
        </w:rPr>
        <w:t xml:space="preserve"> a </w:t>
      </w:r>
      <w:r w:rsidR="0083451C" w:rsidRPr="0083451C">
        <w:rPr>
          <w:rFonts w:ascii="Times New Roman" w:hAnsi="Times New Roman" w:cs="Times New Roman"/>
          <w:bCs/>
        </w:rPr>
        <w:t>87/2015. (IV. 9.) Korm. rendelet 62. §</w:t>
      </w:r>
      <w:proofErr w:type="spellStart"/>
      <w:r w:rsidR="0083451C" w:rsidRPr="0083451C">
        <w:rPr>
          <w:rFonts w:ascii="Times New Roman" w:hAnsi="Times New Roman" w:cs="Times New Roman"/>
          <w:bCs/>
        </w:rPr>
        <w:t>-a</w:t>
      </w:r>
      <w:proofErr w:type="spellEnd"/>
      <w:r w:rsidR="0083451C" w:rsidRPr="0083451C">
        <w:rPr>
          <w:rFonts w:ascii="Times New Roman" w:hAnsi="Times New Roman" w:cs="Times New Roman"/>
          <w:bCs/>
        </w:rPr>
        <w:t xml:space="preserve"> alapján</w:t>
      </w:r>
    </w:p>
  </w:footnote>
  <w:footnote w:id="2">
    <w:p w:rsidR="007E1D6E" w:rsidRDefault="007E1D6E" w:rsidP="007E1D6E">
      <w:pPr>
        <w:pStyle w:val="Lbjegyzetszveg"/>
        <w:jc w:val="both"/>
        <w:rPr>
          <w:rFonts w:ascii="Times New Roman" w:eastAsia="Calibri" w:hAnsi="Times New Roman"/>
          <w:i/>
          <w:sz w:val="18"/>
          <w:szCs w:val="18"/>
        </w:rPr>
      </w:pPr>
      <w:r>
        <w:rPr>
          <w:rStyle w:val="Lbjegyzet-hivatkozs"/>
          <w:rFonts w:ascii="Times New Roman" w:hAnsi="Times New Roman"/>
          <w:i/>
          <w:sz w:val="18"/>
          <w:szCs w:val="18"/>
        </w:rPr>
        <w:footnoteRef/>
      </w:r>
      <w:r>
        <w:rPr>
          <w:rFonts w:ascii="Times New Roman" w:hAnsi="Times New Roman"/>
          <w:i/>
          <w:sz w:val="18"/>
          <w:szCs w:val="18"/>
        </w:rPr>
        <w:t xml:space="preserve"> GDPR 6. cikk (1) </w:t>
      </w:r>
      <w:r w:rsidR="00200FEE" w:rsidRPr="00200FEE">
        <w:rPr>
          <w:rFonts w:ascii="Times New Roman" w:hAnsi="Times New Roman"/>
          <w:i/>
          <w:sz w:val="18"/>
          <w:szCs w:val="18"/>
        </w:rPr>
        <w:t>A személyes adatok kezelése kizárólag akkor és annyiban jogszerű, amennyiben legalább az alábbiak egyike teljesül:</w:t>
      </w:r>
      <w:r w:rsidR="00200FEE">
        <w:rPr>
          <w:rFonts w:ascii="Times New Roman" w:hAnsi="Times New Roman"/>
          <w:i/>
          <w:sz w:val="18"/>
          <w:szCs w:val="18"/>
        </w:rPr>
        <w:t xml:space="preserve"> </w:t>
      </w:r>
      <w:r>
        <w:rPr>
          <w:rFonts w:ascii="Times New Roman" w:hAnsi="Times New Roman"/>
          <w:i/>
          <w:sz w:val="18"/>
          <w:szCs w:val="18"/>
        </w:rPr>
        <w:t>c) az adatkezelés az adatkezelőre vonatkozó jogi kötelezettség teljesítéséhez szükséges</w:t>
      </w:r>
    </w:p>
    <w:p w:rsidR="007E1D6E" w:rsidRDefault="007E1D6E" w:rsidP="007E1D6E">
      <w:pPr>
        <w:pStyle w:val="Lbjegyzetszveg"/>
        <w:jc w:val="both"/>
        <w:rPr>
          <w:rFonts w:ascii="Times New Roman" w:hAnsi="Times New Roman"/>
          <w:i/>
          <w:sz w:val="18"/>
          <w:szCs w:val="18"/>
        </w:rPr>
      </w:pPr>
      <w:r>
        <w:rPr>
          <w:rFonts w:ascii="Times New Roman" w:hAnsi="Times New Roman"/>
          <w:i/>
          <w:sz w:val="18"/>
          <w:szCs w:val="18"/>
        </w:rPr>
        <w:t xml:space="preserve">GDPR 6. cikk (1) </w:t>
      </w:r>
      <w:r w:rsidR="00200FEE" w:rsidRPr="00200FEE">
        <w:rPr>
          <w:rFonts w:ascii="Times New Roman" w:hAnsi="Times New Roman"/>
          <w:i/>
          <w:sz w:val="18"/>
          <w:szCs w:val="18"/>
        </w:rPr>
        <w:t>A személyes adatok kezelése kizárólag akkor és annyiban jogszerű, amennyiben legalább az alábbiak egyike teljesül:</w:t>
      </w:r>
      <w:r w:rsidR="00200FEE">
        <w:rPr>
          <w:rFonts w:ascii="Times New Roman" w:hAnsi="Times New Roman"/>
          <w:i/>
          <w:sz w:val="18"/>
          <w:szCs w:val="18"/>
        </w:rPr>
        <w:t xml:space="preserve"> </w:t>
      </w:r>
      <w:bookmarkStart w:id="1" w:name="_GoBack"/>
      <w:bookmarkEnd w:id="1"/>
      <w:r>
        <w:rPr>
          <w:rFonts w:ascii="Times New Roman" w:hAnsi="Times New Roman"/>
          <w:i/>
          <w:sz w:val="18"/>
          <w:szCs w:val="18"/>
        </w:rPr>
        <w:t>e) az adatkezelés közérdekű vagy az adatkezelőre ruházott közhatalmi jogosítvány gyakorlásának keretében végzett feladat végrehajtásához szükséges</w:t>
      </w:r>
    </w:p>
  </w:footnote>
  <w:footnote w:id="3">
    <w:p w:rsidR="00E1039E" w:rsidRPr="00391285" w:rsidRDefault="00E1039E" w:rsidP="00E1039E">
      <w:pPr>
        <w:pStyle w:val="Lbjegyzetszveg"/>
        <w:jc w:val="both"/>
        <w:rPr>
          <w:rFonts w:ascii="Times New Roman" w:hAnsi="Times New Roman"/>
          <w:i/>
          <w:sz w:val="18"/>
          <w:szCs w:val="18"/>
        </w:rPr>
      </w:pPr>
      <w:r w:rsidRPr="00391285">
        <w:rPr>
          <w:rStyle w:val="Lbjegyzet-hivatkozs"/>
          <w:rFonts w:ascii="Times New Roman" w:hAnsi="Times New Roman"/>
          <w:sz w:val="18"/>
          <w:szCs w:val="18"/>
        </w:rPr>
        <w:footnoteRef/>
      </w:r>
      <w:r w:rsidRPr="00391285">
        <w:rPr>
          <w:rFonts w:ascii="Times New Roman" w:hAnsi="Times New Roman"/>
          <w:sz w:val="18"/>
          <w:szCs w:val="18"/>
        </w:rPr>
        <w:t xml:space="preserve"> Különleges adat: </w:t>
      </w:r>
      <w:r w:rsidRPr="00391285">
        <w:rPr>
          <w:rFonts w:ascii="Times New Roman" w:hAnsi="Times New Roman"/>
          <w:i/>
          <w:sz w:val="18"/>
          <w:szCs w:val="18"/>
        </w:rPr>
        <w:t xml:space="preserve">GDPR 9. cikk (1) A faji vagy etnikai származásra, politikai véleményre, vallási vagy világnézeti meggyőződésre vagy szakszervezeti tagságra utaló személyes adatok, valamint a természetes személyek egyedi azonosítását célzó genetikai vagy </w:t>
      </w:r>
      <w:proofErr w:type="spellStart"/>
      <w:r w:rsidRPr="00391285">
        <w:rPr>
          <w:rFonts w:ascii="Times New Roman" w:hAnsi="Times New Roman"/>
          <w:i/>
          <w:sz w:val="18"/>
          <w:szCs w:val="18"/>
        </w:rPr>
        <w:t>biometrikus</w:t>
      </w:r>
      <w:proofErr w:type="spellEnd"/>
      <w:r w:rsidRPr="00391285">
        <w:rPr>
          <w:rFonts w:ascii="Times New Roman" w:hAnsi="Times New Roman"/>
          <w:i/>
          <w:sz w:val="18"/>
          <w:szCs w:val="18"/>
        </w:rPr>
        <w:t xml:space="preserve"> adatok, az </w:t>
      </w:r>
      <w:r w:rsidRPr="00391285">
        <w:rPr>
          <w:rFonts w:ascii="Times New Roman" w:hAnsi="Times New Roman"/>
          <w:b/>
          <w:i/>
          <w:sz w:val="18"/>
          <w:szCs w:val="18"/>
        </w:rPr>
        <w:t xml:space="preserve">egészségügyi adatok </w:t>
      </w:r>
      <w:r w:rsidRPr="00391285">
        <w:rPr>
          <w:rFonts w:ascii="Times New Roman" w:hAnsi="Times New Roman"/>
          <w:i/>
          <w:sz w:val="18"/>
          <w:szCs w:val="18"/>
        </w:rPr>
        <w:t>és a természetes személyek szexuális életére vagy szexuális irányultságára vonatkozó személyes adatok…”.</w:t>
      </w:r>
    </w:p>
    <w:p w:rsidR="00E1039E" w:rsidRDefault="00E1039E" w:rsidP="00E1039E">
      <w:pPr>
        <w:pStyle w:val="Lbjegyzetszveg"/>
        <w:jc w:val="both"/>
      </w:pPr>
      <w:r w:rsidRPr="00391285">
        <w:rPr>
          <w:rFonts w:ascii="Times New Roman" w:hAnsi="Times New Roman"/>
          <w:i/>
          <w:sz w:val="18"/>
          <w:szCs w:val="18"/>
        </w:rPr>
        <w:t xml:space="preserve">Az információs önrendelkezési jogról és az információszabadságról szóló 2011. évi CXII. törvényben (a továbbiakban: </w:t>
      </w:r>
      <w:proofErr w:type="spellStart"/>
      <w:r w:rsidRPr="00391285">
        <w:rPr>
          <w:rFonts w:ascii="Times New Roman" w:hAnsi="Times New Roman"/>
          <w:i/>
          <w:sz w:val="18"/>
          <w:szCs w:val="18"/>
        </w:rPr>
        <w:t>Info</w:t>
      </w:r>
      <w:proofErr w:type="spellEnd"/>
      <w:r w:rsidRPr="00391285">
        <w:rPr>
          <w:rFonts w:ascii="Times New Roman" w:hAnsi="Times New Roman"/>
          <w:i/>
          <w:sz w:val="18"/>
          <w:szCs w:val="18"/>
        </w:rPr>
        <w:t xml:space="preserve"> tv.) 3. § 3. </w:t>
      </w:r>
      <w:r w:rsidRPr="00391285">
        <w:rPr>
          <w:rFonts w:ascii="Times New Roman" w:hAnsi="Times New Roman"/>
          <w:i/>
          <w:iCs/>
          <w:sz w:val="18"/>
          <w:szCs w:val="18"/>
        </w:rPr>
        <w:t xml:space="preserve">különleges adat: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391285">
        <w:rPr>
          <w:rFonts w:ascii="Times New Roman" w:hAnsi="Times New Roman"/>
          <w:i/>
          <w:iCs/>
          <w:sz w:val="18"/>
          <w:szCs w:val="18"/>
        </w:rPr>
        <w:t>biometrikus</w:t>
      </w:r>
      <w:proofErr w:type="spellEnd"/>
      <w:r w:rsidRPr="00391285">
        <w:rPr>
          <w:rFonts w:ascii="Times New Roman" w:hAnsi="Times New Roman"/>
          <w:i/>
          <w:iCs/>
          <w:sz w:val="18"/>
          <w:szCs w:val="18"/>
        </w:rPr>
        <w:t xml:space="preserve"> adatok, </w:t>
      </w:r>
      <w:r w:rsidRPr="00391285">
        <w:rPr>
          <w:rFonts w:ascii="Times New Roman" w:hAnsi="Times New Roman"/>
          <w:b/>
          <w:i/>
          <w:iCs/>
          <w:sz w:val="18"/>
          <w:szCs w:val="18"/>
        </w:rPr>
        <w:t>az egészségügyi adatok</w:t>
      </w:r>
      <w:r w:rsidRPr="00391285">
        <w:rPr>
          <w:rFonts w:ascii="Times New Roman" w:hAnsi="Times New Roman"/>
          <w:i/>
          <w:iCs/>
          <w:sz w:val="18"/>
          <w:szCs w:val="18"/>
        </w:rPr>
        <w:t xml:space="preserve"> és a természetes személyek szexuális életére vagy szexuális irányultságára vonatkozó személyes adatok,</w:t>
      </w:r>
      <w:r>
        <w:rPr>
          <w:rFonts w:ascii="Times New Roman" w:hAnsi="Times New Roman"/>
          <w:i/>
          <w:iCs/>
          <w:sz w:val="18"/>
          <w:szCs w:val="18"/>
        </w:rPr>
        <w:t xml:space="preserve"> </w:t>
      </w:r>
      <w:r w:rsidRPr="00391285">
        <w:rPr>
          <w:rFonts w:ascii="Times New Roman" w:hAnsi="Times New Roman"/>
          <w:i/>
          <w:iCs/>
          <w:sz w:val="18"/>
          <w:szCs w:val="18"/>
        </w:rPr>
        <w:t xml:space="preserve">… 3c. </w:t>
      </w:r>
      <w:r w:rsidRPr="00391285">
        <w:rPr>
          <w:rFonts w:ascii="Times New Roman" w:hAnsi="Times New Roman"/>
          <w:b/>
          <w:i/>
          <w:iCs/>
          <w:sz w:val="18"/>
          <w:szCs w:val="18"/>
        </w:rPr>
        <w:t>egészségügyi adat: egy természetes személy testi vagy szellemi egészségi állapotára vonatkozó személyes adat, ideértve a természet.</w:t>
      </w:r>
      <w:r w:rsidRPr="00391285">
        <w:rPr>
          <w:rFonts w:ascii="Times New Roman" w:hAnsi="Times New Roman"/>
          <w:b/>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381E"/>
    <w:multiLevelType w:val="hybridMultilevel"/>
    <w:tmpl w:val="4AAC0E32"/>
    <w:lvl w:ilvl="0" w:tplc="41FCF228">
      <w:start w:val="1"/>
      <w:numFmt w:val="lowerLetter"/>
      <w:lvlText w:val="%1)"/>
      <w:lvlJc w:val="left"/>
      <w:pPr>
        <w:ind w:left="644" w:hanging="360"/>
      </w:pPr>
      <w:rPr>
        <w:rFonts w:hint="default"/>
        <w:i/>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1">
    <w:nsid w:val="346842E3"/>
    <w:multiLevelType w:val="hybridMultilevel"/>
    <w:tmpl w:val="6AD2735C"/>
    <w:lvl w:ilvl="0" w:tplc="41FCF228">
      <w:start w:val="1"/>
      <w:numFmt w:val="lowerLetter"/>
      <w:lvlText w:val="%1)"/>
      <w:lvlJc w:val="left"/>
      <w:pPr>
        <w:ind w:left="644" w:hanging="360"/>
      </w:pPr>
      <w:rPr>
        <w:rFonts w:hint="default"/>
        <w:i/>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
    <w:nsid w:val="3E7F5760"/>
    <w:multiLevelType w:val="hybridMultilevel"/>
    <w:tmpl w:val="720217A8"/>
    <w:lvl w:ilvl="0" w:tplc="3B581BA8">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2C86571"/>
    <w:multiLevelType w:val="hybridMultilevel"/>
    <w:tmpl w:val="D94CE4A4"/>
    <w:lvl w:ilvl="0" w:tplc="548C0576">
      <w:numFmt w:val="bullet"/>
      <w:lvlText w:val=""/>
      <w:lvlJc w:val="left"/>
      <w:pPr>
        <w:ind w:left="507" w:hanging="360"/>
      </w:pPr>
      <w:rPr>
        <w:rFonts w:ascii="Symbol" w:eastAsia="Times New Roman" w:hAnsi="Symbol" w:cs="Times New Roman" w:hint="default"/>
      </w:rPr>
    </w:lvl>
    <w:lvl w:ilvl="1" w:tplc="040E0003" w:tentative="1">
      <w:start w:val="1"/>
      <w:numFmt w:val="bullet"/>
      <w:lvlText w:val="o"/>
      <w:lvlJc w:val="left"/>
      <w:pPr>
        <w:ind w:left="1227" w:hanging="360"/>
      </w:pPr>
      <w:rPr>
        <w:rFonts w:ascii="Courier New" w:hAnsi="Courier New" w:cs="Courier New" w:hint="default"/>
      </w:rPr>
    </w:lvl>
    <w:lvl w:ilvl="2" w:tplc="040E0005" w:tentative="1">
      <w:start w:val="1"/>
      <w:numFmt w:val="bullet"/>
      <w:lvlText w:val=""/>
      <w:lvlJc w:val="left"/>
      <w:pPr>
        <w:ind w:left="1947" w:hanging="360"/>
      </w:pPr>
      <w:rPr>
        <w:rFonts w:ascii="Wingdings" w:hAnsi="Wingdings" w:hint="default"/>
      </w:rPr>
    </w:lvl>
    <w:lvl w:ilvl="3" w:tplc="040E0001" w:tentative="1">
      <w:start w:val="1"/>
      <w:numFmt w:val="bullet"/>
      <w:lvlText w:val=""/>
      <w:lvlJc w:val="left"/>
      <w:pPr>
        <w:ind w:left="2667" w:hanging="360"/>
      </w:pPr>
      <w:rPr>
        <w:rFonts w:ascii="Symbol" w:hAnsi="Symbol" w:hint="default"/>
      </w:rPr>
    </w:lvl>
    <w:lvl w:ilvl="4" w:tplc="040E0003" w:tentative="1">
      <w:start w:val="1"/>
      <w:numFmt w:val="bullet"/>
      <w:lvlText w:val="o"/>
      <w:lvlJc w:val="left"/>
      <w:pPr>
        <w:ind w:left="3387" w:hanging="360"/>
      </w:pPr>
      <w:rPr>
        <w:rFonts w:ascii="Courier New" w:hAnsi="Courier New" w:cs="Courier New" w:hint="default"/>
      </w:rPr>
    </w:lvl>
    <w:lvl w:ilvl="5" w:tplc="040E0005" w:tentative="1">
      <w:start w:val="1"/>
      <w:numFmt w:val="bullet"/>
      <w:lvlText w:val=""/>
      <w:lvlJc w:val="left"/>
      <w:pPr>
        <w:ind w:left="4107" w:hanging="360"/>
      </w:pPr>
      <w:rPr>
        <w:rFonts w:ascii="Wingdings" w:hAnsi="Wingdings" w:hint="default"/>
      </w:rPr>
    </w:lvl>
    <w:lvl w:ilvl="6" w:tplc="040E0001" w:tentative="1">
      <w:start w:val="1"/>
      <w:numFmt w:val="bullet"/>
      <w:lvlText w:val=""/>
      <w:lvlJc w:val="left"/>
      <w:pPr>
        <w:ind w:left="4827" w:hanging="360"/>
      </w:pPr>
      <w:rPr>
        <w:rFonts w:ascii="Symbol" w:hAnsi="Symbol" w:hint="default"/>
      </w:rPr>
    </w:lvl>
    <w:lvl w:ilvl="7" w:tplc="040E0003" w:tentative="1">
      <w:start w:val="1"/>
      <w:numFmt w:val="bullet"/>
      <w:lvlText w:val="o"/>
      <w:lvlJc w:val="left"/>
      <w:pPr>
        <w:ind w:left="5547" w:hanging="360"/>
      </w:pPr>
      <w:rPr>
        <w:rFonts w:ascii="Courier New" w:hAnsi="Courier New" w:cs="Courier New" w:hint="default"/>
      </w:rPr>
    </w:lvl>
    <w:lvl w:ilvl="8" w:tplc="040E0005" w:tentative="1">
      <w:start w:val="1"/>
      <w:numFmt w:val="bullet"/>
      <w:lvlText w:val=""/>
      <w:lvlJc w:val="left"/>
      <w:pPr>
        <w:ind w:left="6267" w:hanging="360"/>
      </w:pPr>
      <w:rPr>
        <w:rFonts w:ascii="Wingdings" w:hAnsi="Wingdings" w:hint="default"/>
      </w:rPr>
    </w:lvl>
  </w:abstractNum>
  <w:abstractNum w:abstractNumId="4">
    <w:nsid w:val="6E8D6B60"/>
    <w:multiLevelType w:val="hybridMultilevel"/>
    <w:tmpl w:val="BC5208B0"/>
    <w:lvl w:ilvl="0" w:tplc="A2A66A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5"/>
  <w:proofState w:spelling="clean"/>
  <w:defaultTabStop w:val="708"/>
  <w:hyphenationZone w:val="425"/>
  <w:characterSpacingControl w:val="doNotCompress"/>
  <w:footnotePr>
    <w:footnote w:id="-1"/>
    <w:footnote w:id="0"/>
  </w:footnotePr>
  <w:endnotePr>
    <w:endnote w:id="-1"/>
    <w:endnote w:id="0"/>
  </w:endnotePr>
  <w:compat/>
  <w:rsids>
    <w:rsidRoot w:val="005450F4"/>
    <w:rsid w:val="00007DC2"/>
    <w:rsid w:val="00054124"/>
    <w:rsid w:val="00067065"/>
    <w:rsid w:val="000F2D47"/>
    <w:rsid w:val="00106DDF"/>
    <w:rsid w:val="00115FB1"/>
    <w:rsid w:val="00196E6A"/>
    <w:rsid w:val="001A223D"/>
    <w:rsid w:val="001A6A40"/>
    <w:rsid w:val="00200FEE"/>
    <w:rsid w:val="00275254"/>
    <w:rsid w:val="002A3C3A"/>
    <w:rsid w:val="002C6CE1"/>
    <w:rsid w:val="002D6D42"/>
    <w:rsid w:val="002D7C12"/>
    <w:rsid w:val="002E7C2B"/>
    <w:rsid w:val="003B6E1C"/>
    <w:rsid w:val="003E593D"/>
    <w:rsid w:val="0040600C"/>
    <w:rsid w:val="00416F2B"/>
    <w:rsid w:val="00424CD8"/>
    <w:rsid w:val="0046666D"/>
    <w:rsid w:val="00477998"/>
    <w:rsid w:val="004C7FDA"/>
    <w:rsid w:val="004D6DAE"/>
    <w:rsid w:val="004E012E"/>
    <w:rsid w:val="004F669A"/>
    <w:rsid w:val="005074BC"/>
    <w:rsid w:val="005223D4"/>
    <w:rsid w:val="005230A6"/>
    <w:rsid w:val="005377A2"/>
    <w:rsid w:val="005450F4"/>
    <w:rsid w:val="0055149E"/>
    <w:rsid w:val="005A6879"/>
    <w:rsid w:val="005B2B28"/>
    <w:rsid w:val="005F6BC9"/>
    <w:rsid w:val="00665DE9"/>
    <w:rsid w:val="00675DD8"/>
    <w:rsid w:val="007C676B"/>
    <w:rsid w:val="007E1D6E"/>
    <w:rsid w:val="007E5002"/>
    <w:rsid w:val="008109A1"/>
    <w:rsid w:val="008114D1"/>
    <w:rsid w:val="008175A9"/>
    <w:rsid w:val="0083451C"/>
    <w:rsid w:val="00836013"/>
    <w:rsid w:val="00845787"/>
    <w:rsid w:val="008479A3"/>
    <w:rsid w:val="00857A19"/>
    <w:rsid w:val="008834B1"/>
    <w:rsid w:val="008A6E40"/>
    <w:rsid w:val="009439B0"/>
    <w:rsid w:val="0097635A"/>
    <w:rsid w:val="00995C65"/>
    <w:rsid w:val="009B1D4B"/>
    <w:rsid w:val="00A05647"/>
    <w:rsid w:val="00A323F4"/>
    <w:rsid w:val="00AB0AE2"/>
    <w:rsid w:val="00BC4DE1"/>
    <w:rsid w:val="00C011A5"/>
    <w:rsid w:val="00C02C58"/>
    <w:rsid w:val="00C254E8"/>
    <w:rsid w:val="00C43F14"/>
    <w:rsid w:val="00C45E78"/>
    <w:rsid w:val="00C8654E"/>
    <w:rsid w:val="00CB6653"/>
    <w:rsid w:val="00D00F0D"/>
    <w:rsid w:val="00D44178"/>
    <w:rsid w:val="00D52B20"/>
    <w:rsid w:val="00DB0CCF"/>
    <w:rsid w:val="00E077DB"/>
    <w:rsid w:val="00E1039E"/>
    <w:rsid w:val="00E10403"/>
    <w:rsid w:val="00E21A6F"/>
    <w:rsid w:val="00E26EAC"/>
    <w:rsid w:val="00E36188"/>
    <w:rsid w:val="00E36D2F"/>
    <w:rsid w:val="00E641FC"/>
    <w:rsid w:val="00EB5F1C"/>
    <w:rsid w:val="00ED01CF"/>
    <w:rsid w:val="00ED5967"/>
    <w:rsid w:val="00EE29B7"/>
    <w:rsid w:val="00EF4922"/>
    <w:rsid w:val="00F01444"/>
    <w:rsid w:val="00F02203"/>
    <w:rsid w:val="00F20C31"/>
    <w:rsid w:val="00F27C5D"/>
    <w:rsid w:val="00F9119A"/>
    <w:rsid w:val="00FD1A9D"/>
    <w:rsid w:val="00FD4C3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93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4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5450F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B0CC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0CCF"/>
    <w:rPr>
      <w:rFonts w:ascii="Tahoma" w:hAnsi="Tahoma" w:cs="Tahoma"/>
      <w:sz w:val="16"/>
      <w:szCs w:val="16"/>
    </w:rPr>
  </w:style>
  <w:style w:type="character" w:styleId="Hiperhivatkozs">
    <w:name w:val="Hyperlink"/>
    <w:basedOn w:val="Bekezdsalapbettpusa"/>
    <w:uiPriority w:val="99"/>
    <w:unhideWhenUsed/>
    <w:rsid w:val="00DB0CCF"/>
    <w:rPr>
      <w:color w:val="0000FF" w:themeColor="hyperlink"/>
      <w:u w:val="single"/>
    </w:rPr>
  </w:style>
  <w:style w:type="paragraph" w:styleId="Lbjegyzetszveg">
    <w:name w:val="footnote text"/>
    <w:basedOn w:val="Norml"/>
    <w:link w:val="LbjegyzetszvegChar"/>
    <w:uiPriority w:val="99"/>
    <w:semiHidden/>
    <w:unhideWhenUsed/>
    <w:rsid w:val="00C011A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011A5"/>
    <w:rPr>
      <w:sz w:val="20"/>
      <w:szCs w:val="20"/>
    </w:rPr>
  </w:style>
  <w:style w:type="character" w:styleId="Lbjegyzet-hivatkozs">
    <w:name w:val="footnote reference"/>
    <w:basedOn w:val="Bekezdsalapbettpusa"/>
    <w:uiPriority w:val="99"/>
    <w:semiHidden/>
    <w:unhideWhenUsed/>
    <w:rsid w:val="00C011A5"/>
    <w:rPr>
      <w:vertAlign w:val="superscript"/>
    </w:rPr>
  </w:style>
  <w:style w:type="paragraph" w:styleId="Vltozat">
    <w:name w:val="Revision"/>
    <w:hidden/>
    <w:uiPriority w:val="99"/>
    <w:semiHidden/>
    <w:rsid w:val="002D7C12"/>
    <w:pPr>
      <w:spacing w:after="0" w:line="240" w:lineRule="auto"/>
    </w:pPr>
  </w:style>
  <w:style w:type="paragraph" w:styleId="lfej">
    <w:name w:val="header"/>
    <w:basedOn w:val="Norml"/>
    <w:link w:val="lfejChar"/>
    <w:uiPriority w:val="99"/>
    <w:unhideWhenUsed/>
    <w:rsid w:val="00EB5F1C"/>
    <w:pPr>
      <w:tabs>
        <w:tab w:val="center" w:pos="4536"/>
        <w:tab w:val="right" w:pos="9072"/>
      </w:tabs>
      <w:spacing w:after="0" w:line="240" w:lineRule="auto"/>
    </w:pPr>
  </w:style>
  <w:style w:type="character" w:customStyle="1" w:styleId="lfejChar">
    <w:name w:val="Élőfej Char"/>
    <w:basedOn w:val="Bekezdsalapbettpusa"/>
    <w:link w:val="lfej"/>
    <w:uiPriority w:val="99"/>
    <w:rsid w:val="00EB5F1C"/>
  </w:style>
  <w:style w:type="paragraph" w:styleId="llb">
    <w:name w:val="footer"/>
    <w:basedOn w:val="Norml"/>
    <w:link w:val="llbChar"/>
    <w:uiPriority w:val="99"/>
    <w:unhideWhenUsed/>
    <w:rsid w:val="00EB5F1C"/>
    <w:pPr>
      <w:tabs>
        <w:tab w:val="center" w:pos="4536"/>
        <w:tab w:val="right" w:pos="9072"/>
      </w:tabs>
      <w:spacing w:after="0" w:line="240" w:lineRule="auto"/>
    </w:pPr>
  </w:style>
  <w:style w:type="character" w:customStyle="1" w:styleId="llbChar">
    <w:name w:val="Élőláb Char"/>
    <w:basedOn w:val="Bekezdsalapbettpusa"/>
    <w:link w:val="llb"/>
    <w:uiPriority w:val="99"/>
    <w:rsid w:val="00EB5F1C"/>
  </w:style>
</w:styles>
</file>

<file path=word/webSettings.xml><?xml version="1.0" encoding="utf-8"?>
<w:webSettings xmlns:r="http://schemas.openxmlformats.org/officeDocument/2006/relationships" xmlns:w="http://schemas.openxmlformats.org/wordprocessingml/2006/main">
  <w:divs>
    <w:div w:id="361445943">
      <w:bodyDiv w:val="1"/>
      <w:marLeft w:val="0"/>
      <w:marRight w:val="0"/>
      <w:marTop w:val="0"/>
      <w:marBottom w:val="0"/>
      <w:divBdr>
        <w:top w:val="none" w:sz="0" w:space="0" w:color="auto"/>
        <w:left w:val="none" w:sz="0" w:space="0" w:color="auto"/>
        <w:bottom w:val="none" w:sz="0" w:space="0" w:color="auto"/>
        <w:right w:val="none" w:sz="0" w:space="0" w:color="auto"/>
      </w:divBdr>
    </w:div>
    <w:div w:id="416901493">
      <w:bodyDiv w:val="1"/>
      <w:marLeft w:val="0"/>
      <w:marRight w:val="0"/>
      <w:marTop w:val="0"/>
      <w:marBottom w:val="0"/>
      <w:divBdr>
        <w:top w:val="none" w:sz="0" w:space="0" w:color="auto"/>
        <w:left w:val="none" w:sz="0" w:space="0" w:color="auto"/>
        <w:bottom w:val="none" w:sz="0" w:space="0" w:color="auto"/>
        <w:right w:val="none" w:sz="0" w:space="0" w:color="auto"/>
      </w:divBdr>
    </w:div>
    <w:div w:id="426923006">
      <w:bodyDiv w:val="1"/>
      <w:marLeft w:val="0"/>
      <w:marRight w:val="0"/>
      <w:marTop w:val="0"/>
      <w:marBottom w:val="0"/>
      <w:divBdr>
        <w:top w:val="none" w:sz="0" w:space="0" w:color="auto"/>
        <w:left w:val="none" w:sz="0" w:space="0" w:color="auto"/>
        <w:bottom w:val="none" w:sz="0" w:space="0" w:color="auto"/>
        <w:right w:val="none" w:sz="0" w:space="0" w:color="auto"/>
      </w:divBdr>
    </w:div>
    <w:div w:id="438567443">
      <w:bodyDiv w:val="1"/>
      <w:marLeft w:val="0"/>
      <w:marRight w:val="0"/>
      <w:marTop w:val="0"/>
      <w:marBottom w:val="0"/>
      <w:divBdr>
        <w:top w:val="none" w:sz="0" w:space="0" w:color="auto"/>
        <w:left w:val="none" w:sz="0" w:space="0" w:color="auto"/>
        <w:bottom w:val="none" w:sz="0" w:space="0" w:color="auto"/>
        <w:right w:val="none" w:sz="0" w:space="0" w:color="auto"/>
      </w:divBdr>
    </w:div>
    <w:div w:id="727338961">
      <w:bodyDiv w:val="1"/>
      <w:marLeft w:val="0"/>
      <w:marRight w:val="0"/>
      <w:marTop w:val="0"/>
      <w:marBottom w:val="0"/>
      <w:divBdr>
        <w:top w:val="none" w:sz="0" w:space="0" w:color="auto"/>
        <w:left w:val="none" w:sz="0" w:space="0" w:color="auto"/>
        <w:bottom w:val="none" w:sz="0" w:space="0" w:color="auto"/>
        <w:right w:val="none" w:sz="0" w:space="0" w:color="auto"/>
      </w:divBdr>
    </w:div>
    <w:div w:id="1196964662">
      <w:bodyDiv w:val="1"/>
      <w:marLeft w:val="0"/>
      <w:marRight w:val="0"/>
      <w:marTop w:val="0"/>
      <w:marBottom w:val="0"/>
      <w:divBdr>
        <w:top w:val="none" w:sz="0" w:space="0" w:color="auto"/>
        <w:left w:val="none" w:sz="0" w:space="0" w:color="auto"/>
        <w:bottom w:val="none" w:sz="0" w:space="0" w:color="auto"/>
        <w:right w:val="none" w:sz="0" w:space="0" w:color="auto"/>
      </w:divBdr>
    </w:div>
    <w:div w:id="123759060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
    <w:div w:id="1283152145">
      <w:bodyDiv w:val="1"/>
      <w:marLeft w:val="0"/>
      <w:marRight w:val="0"/>
      <w:marTop w:val="0"/>
      <w:marBottom w:val="0"/>
      <w:divBdr>
        <w:top w:val="none" w:sz="0" w:space="0" w:color="auto"/>
        <w:left w:val="none" w:sz="0" w:space="0" w:color="auto"/>
        <w:bottom w:val="none" w:sz="0" w:space="0" w:color="auto"/>
        <w:right w:val="none" w:sz="0" w:space="0" w:color="auto"/>
      </w:divBdr>
    </w:div>
    <w:div w:id="1376469500">
      <w:bodyDiv w:val="1"/>
      <w:marLeft w:val="0"/>
      <w:marRight w:val="0"/>
      <w:marTop w:val="0"/>
      <w:marBottom w:val="0"/>
      <w:divBdr>
        <w:top w:val="none" w:sz="0" w:space="0" w:color="auto"/>
        <w:left w:val="none" w:sz="0" w:space="0" w:color="auto"/>
        <w:bottom w:val="none" w:sz="0" w:space="0" w:color="auto"/>
        <w:right w:val="none" w:sz="0" w:space="0" w:color="auto"/>
      </w:divBdr>
    </w:div>
    <w:div w:id="1460147382">
      <w:bodyDiv w:val="1"/>
      <w:marLeft w:val="0"/>
      <w:marRight w:val="0"/>
      <w:marTop w:val="0"/>
      <w:marBottom w:val="0"/>
      <w:divBdr>
        <w:top w:val="none" w:sz="0" w:space="0" w:color="auto"/>
        <w:left w:val="none" w:sz="0" w:space="0" w:color="auto"/>
        <w:bottom w:val="none" w:sz="0" w:space="0" w:color="auto"/>
        <w:right w:val="none" w:sz="0" w:space="0" w:color="auto"/>
      </w:divBdr>
    </w:div>
    <w:div w:id="1575235178">
      <w:bodyDiv w:val="1"/>
      <w:marLeft w:val="0"/>
      <w:marRight w:val="0"/>
      <w:marTop w:val="0"/>
      <w:marBottom w:val="0"/>
      <w:divBdr>
        <w:top w:val="none" w:sz="0" w:space="0" w:color="auto"/>
        <w:left w:val="none" w:sz="0" w:space="0" w:color="auto"/>
        <w:bottom w:val="none" w:sz="0" w:space="0" w:color="auto"/>
        <w:right w:val="none" w:sz="0" w:space="0" w:color="auto"/>
      </w:divBdr>
    </w:div>
    <w:div w:id="19897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mailto:adatvedelem@uni-nk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elyegyenloseg@uni-nk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nk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tanulmanyi@uni-nke.hu" TargetMode="External"/><Relationship Id="rId4" Type="http://schemas.openxmlformats.org/officeDocument/2006/relationships/settings" Target="settings.xml"/><Relationship Id="rId9" Type="http://schemas.openxmlformats.org/officeDocument/2006/relationships/hyperlink" Target="https://www.uni-nke.hu" TargetMode="External"/><Relationship Id="rId14"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565E-95F3-4C6E-B076-5737D5F9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1845</Words>
  <Characters>12732</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NKE</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bordasr</dc:creator>
  <cp:lastModifiedBy>Admin</cp:lastModifiedBy>
  <cp:revision>2</cp:revision>
  <cp:lastPrinted>2018-05-28T09:18:00Z</cp:lastPrinted>
  <dcterms:created xsi:type="dcterms:W3CDTF">2019-02-15T09:14:00Z</dcterms:created>
  <dcterms:modified xsi:type="dcterms:W3CDTF">2019-02-15T09:14:00Z</dcterms:modified>
</cp:coreProperties>
</file>